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41701" w14:textId="39FB1FD2" w:rsidR="001857AD" w:rsidRPr="001857AD" w:rsidRDefault="005E6A3A" w:rsidP="001857AD">
      <w:pPr>
        <w:spacing w:after="0" w:line="240" w:lineRule="auto"/>
        <w:jc w:val="right"/>
        <w:rPr>
          <w:rFonts w:ascii="Times New Roman" w:eastAsia="Calibri" w:hAnsi="Times New Roman" w:cs="Times New Roman"/>
          <w:sz w:val="24"/>
          <w:szCs w:val="24"/>
        </w:rPr>
      </w:pPr>
      <w:bookmarkStart w:id="0" w:name="_Hlk137822066"/>
      <w:r>
        <w:rPr>
          <w:rFonts w:ascii="Times New Roman" w:eastAsia="Calibri" w:hAnsi="Times New Roman" w:cs="Times New Roman"/>
          <w:sz w:val="24"/>
          <w:szCs w:val="24"/>
        </w:rPr>
        <w:t>P</w:t>
      </w:r>
      <w:r w:rsidR="001857AD" w:rsidRPr="001857AD">
        <w:rPr>
          <w:rFonts w:ascii="Times New Roman" w:eastAsia="Calibri" w:hAnsi="Times New Roman" w:cs="Times New Roman"/>
          <w:sz w:val="24"/>
          <w:szCs w:val="24"/>
        </w:rPr>
        <w:t>riedas</w:t>
      </w:r>
      <w:r>
        <w:rPr>
          <w:rFonts w:ascii="Times New Roman" w:eastAsia="Calibri" w:hAnsi="Times New Roman" w:cs="Times New Roman"/>
          <w:sz w:val="24"/>
          <w:szCs w:val="24"/>
        </w:rPr>
        <w:t xml:space="preserve"> 1</w:t>
      </w:r>
      <w:r w:rsidR="001857AD" w:rsidRPr="001857AD">
        <w:rPr>
          <w:rFonts w:ascii="Times New Roman" w:eastAsia="Calibri" w:hAnsi="Times New Roman" w:cs="Times New Roman"/>
          <w:sz w:val="24"/>
          <w:szCs w:val="24"/>
        </w:rPr>
        <w:t xml:space="preserve"> </w:t>
      </w:r>
    </w:p>
    <w:p w14:paraId="067E4280" w14:textId="7078CAC9" w:rsidR="00AD2242" w:rsidRPr="001857AD" w:rsidRDefault="00AD2242" w:rsidP="00AD2242">
      <w:pPr>
        <w:spacing w:after="0" w:line="240" w:lineRule="auto"/>
        <w:jc w:val="center"/>
        <w:rPr>
          <w:rFonts w:ascii="Times New Roman" w:hAnsi="Times New Roman" w:cs="Times New Roman"/>
          <w:b/>
          <w:bCs/>
          <w:sz w:val="24"/>
          <w:szCs w:val="24"/>
        </w:rPr>
      </w:pPr>
      <w:r w:rsidRPr="70E841AB">
        <w:rPr>
          <w:rFonts w:ascii="Times New Roman" w:hAnsi="Times New Roman" w:cs="Times New Roman"/>
          <w:b/>
          <w:bCs/>
          <w:sz w:val="24"/>
          <w:szCs w:val="24"/>
        </w:rPr>
        <w:t>TECHNINĖ SPECIFIKACIJA</w:t>
      </w:r>
    </w:p>
    <w:bookmarkEnd w:id="0"/>
    <w:p w14:paraId="34C9D65B" w14:textId="07CE0B84" w:rsidR="00AD2242" w:rsidRPr="001857AD" w:rsidRDefault="00AD2242" w:rsidP="00AD2242">
      <w:pPr>
        <w:spacing w:after="0" w:line="240" w:lineRule="auto"/>
        <w:jc w:val="center"/>
        <w:rPr>
          <w:rFonts w:ascii="Times New Roman" w:hAnsi="Times New Roman" w:cs="Times New Roman"/>
          <w:b/>
          <w:bCs/>
          <w:sz w:val="24"/>
          <w:szCs w:val="24"/>
        </w:rPr>
      </w:pPr>
      <w:r w:rsidRPr="001857AD">
        <w:rPr>
          <w:rFonts w:ascii="Times New Roman" w:hAnsi="Times New Roman" w:cs="Times New Roman"/>
          <w:b/>
          <w:bCs/>
          <w:sz w:val="24"/>
          <w:szCs w:val="24"/>
        </w:rPr>
        <w:t>AKCINĖS BENDROVĖS LIETUVOS RADIJO IR TELEVIZIJOS CENTRO SĄNAUDŲ APSKAITOS SISTEMOS IR APSKAITOS ATSKYRIMO AUDITO UŽ 202</w:t>
      </w:r>
      <w:r w:rsidR="00401D40">
        <w:rPr>
          <w:rFonts w:ascii="Times New Roman" w:hAnsi="Times New Roman" w:cs="Times New Roman"/>
          <w:b/>
          <w:bCs/>
          <w:sz w:val="24"/>
          <w:szCs w:val="24"/>
        </w:rPr>
        <w:t>5</w:t>
      </w:r>
      <w:r w:rsidR="00AE2D8D">
        <w:rPr>
          <w:rFonts w:ascii="Times New Roman" w:hAnsi="Times New Roman" w:cs="Times New Roman"/>
          <w:b/>
          <w:bCs/>
          <w:sz w:val="24"/>
          <w:szCs w:val="24"/>
        </w:rPr>
        <w:t xml:space="preserve"> </w:t>
      </w:r>
      <w:r w:rsidRPr="001857AD">
        <w:rPr>
          <w:rFonts w:ascii="Times New Roman" w:hAnsi="Times New Roman" w:cs="Times New Roman"/>
          <w:b/>
          <w:bCs/>
          <w:sz w:val="24"/>
          <w:szCs w:val="24"/>
        </w:rPr>
        <w:t>M. PASLAUGOS</w:t>
      </w:r>
    </w:p>
    <w:p w14:paraId="3E314131" w14:textId="77777777" w:rsidR="00AD2242" w:rsidRPr="001857AD" w:rsidRDefault="00AD2242" w:rsidP="00AD2242">
      <w:pPr>
        <w:spacing w:after="0" w:line="240" w:lineRule="auto"/>
        <w:jc w:val="center"/>
        <w:rPr>
          <w:rFonts w:ascii="Times New Roman" w:hAnsi="Times New Roman" w:cs="Times New Roman"/>
          <w:b/>
          <w:bCs/>
          <w:sz w:val="24"/>
          <w:szCs w:val="24"/>
        </w:rPr>
      </w:pPr>
    </w:p>
    <w:p w14:paraId="14D1C076" w14:textId="6135E91F" w:rsidR="00791E86" w:rsidRPr="001857AD" w:rsidRDefault="00AD2242" w:rsidP="00AD2242">
      <w:pPr>
        <w:numPr>
          <w:ilvl w:val="0"/>
          <w:numId w:val="1"/>
        </w:numPr>
        <w:autoSpaceDE w:val="0"/>
        <w:autoSpaceDN w:val="0"/>
        <w:adjustRightInd w:val="0"/>
        <w:spacing w:after="0" w:line="240" w:lineRule="auto"/>
        <w:ind w:left="0" w:firstLine="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 xml:space="preserve">Pirkimo objektas – </w:t>
      </w:r>
      <w:r w:rsidRPr="001857AD">
        <w:rPr>
          <w:rFonts w:ascii="Times New Roman" w:hAnsi="Times New Roman" w:cs="Times New Roman"/>
          <w:bCs/>
          <w:color w:val="000000"/>
          <w:sz w:val="24"/>
          <w:szCs w:val="24"/>
          <w:lang w:eastAsia="lt-LT"/>
        </w:rPr>
        <w:t>akcinės bendrovės Lietuvos radijo ir televizijos centro</w:t>
      </w:r>
      <w:r w:rsidR="006B4108" w:rsidRPr="001857AD">
        <w:rPr>
          <w:rFonts w:ascii="Times New Roman" w:hAnsi="Times New Roman" w:cs="Times New Roman"/>
          <w:bCs/>
          <w:color w:val="000000"/>
          <w:sz w:val="24"/>
          <w:szCs w:val="24"/>
          <w:lang w:eastAsia="lt-LT"/>
        </w:rPr>
        <w:t xml:space="preserve"> (toliau </w:t>
      </w:r>
      <w:r w:rsidR="00566506" w:rsidRPr="001857AD">
        <w:rPr>
          <w:rFonts w:ascii="Times New Roman" w:hAnsi="Times New Roman" w:cs="Times New Roman"/>
          <w:bCs/>
          <w:color w:val="000000"/>
          <w:sz w:val="24"/>
          <w:szCs w:val="24"/>
          <w:lang w:eastAsia="lt-LT"/>
        </w:rPr>
        <w:t>–</w:t>
      </w:r>
      <w:r w:rsidR="006B4108" w:rsidRPr="001857AD">
        <w:rPr>
          <w:rFonts w:ascii="Times New Roman" w:hAnsi="Times New Roman" w:cs="Times New Roman"/>
          <w:bCs/>
          <w:color w:val="000000"/>
          <w:sz w:val="24"/>
          <w:szCs w:val="24"/>
          <w:lang w:eastAsia="lt-LT"/>
        </w:rPr>
        <w:t xml:space="preserve"> </w:t>
      </w:r>
      <w:r w:rsidR="00566506" w:rsidRPr="001857AD">
        <w:rPr>
          <w:rFonts w:ascii="Times New Roman" w:hAnsi="Times New Roman" w:cs="Times New Roman"/>
          <w:bCs/>
          <w:color w:val="000000"/>
          <w:sz w:val="24"/>
          <w:szCs w:val="24"/>
          <w:lang w:eastAsia="lt-LT"/>
        </w:rPr>
        <w:t>Ūkio subjektas arba Telecentras)</w:t>
      </w:r>
      <w:r w:rsidRPr="001857AD">
        <w:rPr>
          <w:rFonts w:ascii="Times New Roman" w:hAnsi="Times New Roman" w:cs="Times New Roman"/>
          <w:bCs/>
          <w:color w:val="000000"/>
          <w:sz w:val="24"/>
          <w:szCs w:val="24"/>
          <w:lang w:eastAsia="lt-LT"/>
        </w:rPr>
        <w:t xml:space="preserve"> sąnaudų apskaitos sistemos ir apskaitos atskyrimo audito už 202</w:t>
      </w:r>
      <w:r w:rsidR="00401D40">
        <w:rPr>
          <w:rFonts w:ascii="Times New Roman" w:hAnsi="Times New Roman" w:cs="Times New Roman"/>
          <w:bCs/>
          <w:color w:val="000000"/>
          <w:sz w:val="24"/>
          <w:szCs w:val="24"/>
          <w:lang w:eastAsia="lt-LT"/>
        </w:rPr>
        <w:t>5</w:t>
      </w:r>
      <w:r w:rsidR="00112793">
        <w:rPr>
          <w:rFonts w:ascii="Times New Roman" w:hAnsi="Times New Roman" w:cs="Times New Roman"/>
          <w:bCs/>
          <w:color w:val="000000"/>
          <w:sz w:val="24"/>
          <w:szCs w:val="24"/>
          <w:lang w:eastAsia="lt-LT"/>
        </w:rPr>
        <w:t xml:space="preserve"> </w:t>
      </w:r>
      <w:r w:rsidRPr="001857AD">
        <w:rPr>
          <w:rFonts w:ascii="Times New Roman" w:hAnsi="Times New Roman" w:cs="Times New Roman"/>
          <w:bCs/>
          <w:color w:val="000000"/>
          <w:sz w:val="24"/>
          <w:szCs w:val="24"/>
          <w:lang w:eastAsia="lt-LT"/>
        </w:rPr>
        <w:t>m</w:t>
      </w:r>
      <w:r w:rsidR="00401D40">
        <w:rPr>
          <w:rFonts w:ascii="Times New Roman" w:hAnsi="Times New Roman" w:cs="Times New Roman"/>
          <w:bCs/>
          <w:color w:val="000000"/>
          <w:sz w:val="24"/>
          <w:szCs w:val="24"/>
          <w:lang w:eastAsia="lt-LT"/>
        </w:rPr>
        <w:t>.</w:t>
      </w:r>
      <w:r w:rsidRPr="001857AD">
        <w:rPr>
          <w:rFonts w:ascii="Times New Roman" w:hAnsi="Times New Roman" w:cs="Times New Roman"/>
          <w:bCs/>
          <w:color w:val="000000"/>
          <w:sz w:val="24"/>
          <w:szCs w:val="24"/>
          <w:lang w:eastAsia="lt-LT"/>
        </w:rPr>
        <w:t>,</w:t>
      </w:r>
      <w:r w:rsidRPr="001857AD">
        <w:rPr>
          <w:rFonts w:ascii="Times New Roman" w:hAnsi="Times New Roman" w:cs="Times New Roman"/>
          <w:color w:val="000000"/>
          <w:sz w:val="24"/>
          <w:szCs w:val="24"/>
          <w:lang w:eastAsia="lt-LT"/>
        </w:rPr>
        <w:t xml:space="preserve"> </w:t>
      </w:r>
      <w:r w:rsidR="00610B7F" w:rsidRPr="001857AD">
        <w:rPr>
          <w:rFonts w:ascii="Times New Roman" w:hAnsi="Times New Roman" w:cs="Times New Roman"/>
          <w:color w:val="000000"/>
          <w:sz w:val="24"/>
          <w:szCs w:val="24"/>
          <w:lang w:eastAsia="lt-LT"/>
        </w:rPr>
        <w:t>inicij</w:t>
      </w:r>
      <w:r w:rsidR="00A81112" w:rsidRPr="001857AD">
        <w:rPr>
          <w:rFonts w:ascii="Times New Roman" w:hAnsi="Times New Roman" w:cs="Times New Roman"/>
          <w:color w:val="000000"/>
          <w:sz w:val="24"/>
          <w:szCs w:val="24"/>
          <w:lang w:eastAsia="lt-LT"/>
        </w:rPr>
        <w:t>uotos</w:t>
      </w:r>
      <w:r w:rsidRPr="001857AD">
        <w:rPr>
          <w:rFonts w:ascii="Times New Roman" w:hAnsi="Times New Roman" w:cs="Times New Roman"/>
          <w:color w:val="000000"/>
          <w:sz w:val="24"/>
          <w:szCs w:val="24"/>
          <w:lang w:eastAsia="lt-LT"/>
        </w:rPr>
        <w:t xml:space="preserve"> vadovaujantis </w:t>
      </w:r>
      <w:r w:rsidR="002974BB" w:rsidRPr="001857AD">
        <w:rPr>
          <w:rFonts w:ascii="Times New Roman" w:hAnsi="Times New Roman" w:cs="Times New Roman"/>
          <w:color w:val="000000"/>
          <w:sz w:val="24"/>
          <w:szCs w:val="24"/>
          <w:lang w:eastAsia="lt-LT"/>
        </w:rPr>
        <w:t>Lietuvos Respublikos Vyriausybės</w:t>
      </w:r>
      <w:r w:rsidR="00F634A2" w:rsidRPr="001857AD">
        <w:rPr>
          <w:rFonts w:ascii="Times New Roman" w:hAnsi="Times New Roman" w:cs="Times New Roman"/>
          <w:color w:val="000000"/>
          <w:sz w:val="24"/>
          <w:szCs w:val="24"/>
          <w:lang w:eastAsia="lt-LT"/>
        </w:rPr>
        <w:t xml:space="preserve"> </w:t>
      </w:r>
      <w:r w:rsidR="008566AE" w:rsidRPr="001857AD">
        <w:rPr>
          <w:rFonts w:ascii="Times New Roman" w:hAnsi="Times New Roman" w:cs="Times New Roman"/>
          <w:color w:val="000000"/>
          <w:sz w:val="24"/>
          <w:szCs w:val="24"/>
          <w:lang w:eastAsia="lt-LT"/>
        </w:rPr>
        <w:t xml:space="preserve">2025 m. birželio 11 d. nutarimo Nr. </w:t>
      </w:r>
      <w:r w:rsidR="001D6B8F" w:rsidRPr="001857AD">
        <w:rPr>
          <w:rFonts w:ascii="Times New Roman" w:hAnsi="Times New Roman" w:cs="Times New Roman"/>
          <w:color w:val="000000"/>
          <w:sz w:val="24"/>
          <w:szCs w:val="24"/>
          <w:lang w:eastAsia="lt-LT"/>
        </w:rPr>
        <w:t xml:space="preserve">403 </w:t>
      </w:r>
      <w:r w:rsidR="001E4DE2" w:rsidRPr="001857AD">
        <w:rPr>
          <w:rFonts w:ascii="Times New Roman" w:hAnsi="Times New Roman" w:cs="Times New Roman"/>
          <w:color w:val="000000"/>
          <w:sz w:val="24"/>
          <w:szCs w:val="24"/>
          <w:lang w:eastAsia="lt-LT"/>
        </w:rPr>
        <w:t>„</w:t>
      </w:r>
      <w:r w:rsidR="001D6B8F" w:rsidRPr="001857AD">
        <w:rPr>
          <w:rFonts w:ascii="Times New Roman" w:hAnsi="Times New Roman" w:cs="Times New Roman"/>
          <w:color w:val="000000"/>
          <w:sz w:val="24"/>
          <w:szCs w:val="24"/>
          <w:lang w:eastAsia="lt-LT"/>
        </w:rPr>
        <w:t xml:space="preserve">Dėl Lietuvos nacionalinio radijo ir televizijos </w:t>
      </w:r>
      <w:r w:rsidR="0053351A" w:rsidRPr="001857AD">
        <w:rPr>
          <w:rFonts w:ascii="Times New Roman" w:hAnsi="Times New Roman" w:cs="Times New Roman"/>
          <w:color w:val="000000"/>
          <w:sz w:val="24"/>
          <w:szCs w:val="24"/>
          <w:lang w:eastAsia="lt-LT"/>
        </w:rPr>
        <w:t>radijo ir televizijos programų signalų elektroninių ryšių tinklais</w:t>
      </w:r>
      <w:r w:rsidR="00D3196B" w:rsidRPr="001857AD">
        <w:rPr>
          <w:rFonts w:ascii="Times New Roman" w:hAnsi="Times New Roman" w:cs="Times New Roman"/>
          <w:color w:val="000000"/>
          <w:sz w:val="24"/>
          <w:szCs w:val="24"/>
          <w:lang w:eastAsia="lt-LT"/>
        </w:rPr>
        <w:t xml:space="preserve"> perdavimo visuomenei paslaugų ir paslaugų, kurių reikia Lietuvos nacionalinio radijo ir televizijos</w:t>
      </w:r>
      <w:r w:rsidR="0079675E" w:rsidRPr="001857AD">
        <w:rPr>
          <w:rFonts w:ascii="Times New Roman" w:hAnsi="Times New Roman" w:cs="Times New Roman"/>
          <w:color w:val="000000"/>
          <w:sz w:val="24"/>
          <w:szCs w:val="24"/>
          <w:lang w:eastAsia="lt-LT"/>
        </w:rPr>
        <w:t xml:space="preserve"> radijo ir televizijos tinklams teikti ir eksploatuoti, teikimo ir kompensavimo už šių paslaugų</w:t>
      </w:r>
      <w:r w:rsidR="0043431D" w:rsidRPr="001857AD">
        <w:rPr>
          <w:rFonts w:ascii="Times New Roman" w:hAnsi="Times New Roman" w:cs="Times New Roman"/>
          <w:color w:val="000000"/>
          <w:sz w:val="24"/>
          <w:szCs w:val="24"/>
          <w:lang w:eastAsia="lt-LT"/>
        </w:rPr>
        <w:t xml:space="preserve"> teikimą tvarkos ir sąlygų aprašo patvirtinimo“ (toliau </w:t>
      </w:r>
      <w:r w:rsidR="00D04A10" w:rsidRPr="001857AD">
        <w:rPr>
          <w:rFonts w:ascii="Times New Roman" w:hAnsi="Times New Roman" w:cs="Times New Roman"/>
          <w:color w:val="000000"/>
          <w:sz w:val="24"/>
          <w:szCs w:val="24"/>
          <w:lang w:eastAsia="lt-LT"/>
        </w:rPr>
        <w:t>–</w:t>
      </w:r>
      <w:r w:rsidR="0043431D" w:rsidRPr="001857AD">
        <w:rPr>
          <w:rFonts w:ascii="Times New Roman" w:hAnsi="Times New Roman" w:cs="Times New Roman"/>
          <w:color w:val="000000"/>
          <w:sz w:val="24"/>
          <w:szCs w:val="24"/>
          <w:lang w:eastAsia="lt-LT"/>
        </w:rPr>
        <w:t xml:space="preserve"> </w:t>
      </w:r>
      <w:r w:rsidR="00D04A10" w:rsidRPr="001857AD">
        <w:rPr>
          <w:rFonts w:ascii="Times New Roman" w:hAnsi="Times New Roman" w:cs="Times New Roman"/>
          <w:color w:val="000000"/>
          <w:sz w:val="24"/>
          <w:szCs w:val="24"/>
          <w:lang w:eastAsia="lt-LT"/>
        </w:rPr>
        <w:t>LRV nutarimas) 3.5 papunkčiu</w:t>
      </w:r>
      <w:r w:rsidR="00394B65" w:rsidRPr="001857AD">
        <w:rPr>
          <w:rFonts w:ascii="Times New Roman" w:hAnsi="Times New Roman" w:cs="Times New Roman"/>
          <w:color w:val="000000"/>
          <w:sz w:val="24"/>
          <w:szCs w:val="24"/>
          <w:lang w:eastAsia="lt-LT"/>
        </w:rPr>
        <w:t xml:space="preserve"> (toliau – auditas) paslauga, kuri perkama siekiant</w:t>
      </w:r>
      <w:r w:rsidR="000B6CE7" w:rsidRPr="001857AD">
        <w:rPr>
          <w:rFonts w:ascii="Times New Roman" w:hAnsi="Times New Roman" w:cs="Times New Roman"/>
          <w:color w:val="000000"/>
          <w:sz w:val="24"/>
          <w:szCs w:val="24"/>
          <w:lang w:eastAsia="lt-LT"/>
        </w:rPr>
        <w:t xml:space="preserve"> įsitikinti:</w:t>
      </w:r>
    </w:p>
    <w:p w14:paraId="21AC5847" w14:textId="774E1080" w:rsidR="00AD2242" w:rsidRPr="001857AD" w:rsidRDefault="00AD2242" w:rsidP="00AD2242">
      <w:pPr>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1)</w:t>
      </w:r>
      <w:r w:rsidR="0024386D" w:rsidRPr="001857AD">
        <w:rPr>
          <w:rFonts w:ascii="Times New Roman" w:hAnsi="Times New Roman" w:cs="Times New Roman"/>
          <w:color w:val="000000"/>
          <w:sz w:val="24"/>
          <w:szCs w:val="24"/>
          <w:lang w:eastAsia="lt-LT"/>
        </w:rPr>
        <w:t xml:space="preserve"> ar</w:t>
      </w:r>
      <w:r w:rsidRPr="001857AD">
        <w:rPr>
          <w:rFonts w:ascii="Times New Roman" w:hAnsi="Times New Roman" w:cs="Times New Roman"/>
          <w:color w:val="000000"/>
          <w:sz w:val="24"/>
          <w:szCs w:val="24"/>
          <w:lang w:eastAsia="lt-LT"/>
        </w:rPr>
        <w:t xml:space="preserve"> </w:t>
      </w:r>
      <w:r w:rsidR="0024386D" w:rsidRPr="001857AD">
        <w:rPr>
          <w:rFonts w:ascii="Times New Roman" w:hAnsi="Times New Roman" w:cs="Times New Roman"/>
          <w:color w:val="000000"/>
          <w:sz w:val="24"/>
          <w:szCs w:val="24"/>
          <w:lang w:eastAsia="lt-LT"/>
        </w:rPr>
        <w:t>Ū</w:t>
      </w:r>
      <w:r w:rsidRPr="001857AD">
        <w:rPr>
          <w:rFonts w:ascii="Times New Roman" w:hAnsi="Times New Roman" w:cs="Times New Roman"/>
          <w:color w:val="000000"/>
          <w:sz w:val="24"/>
          <w:szCs w:val="24"/>
          <w:lang w:eastAsia="lt-LT"/>
        </w:rPr>
        <w:t>kio subjektas, įpareigotas apskaitą tvarkyti pagal Reguliavimo apskaitos taisyklėse</w:t>
      </w:r>
      <w:r w:rsidR="00854A0C" w:rsidRPr="001857AD">
        <w:rPr>
          <w:rStyle w:val="FootnoteReference"/>
          <w:rFonts w:ascii="Times New Roman" w:hAnsi="Times New Roman"/>
          <w:color w:val="000000"/>
          <w:sz w:val="24"/>
          <w:szCs w:val="24"/>
          <w:lang w:eastAsia="lt-LT"/>
        </w:rPr>
        <w:footnoteReference w:id="2"/>
      </w:r>
      <w:r w:rsidRPr="001857AD">
        <w:rPr>
          <w:rFonts w:ascii="Times New Roman" w:hAnsi="Times New Roman" w:cs="Times New Roman"/>
          <w:color w:val="000000"/>
          <w:sz w:val="24"/>
          <w:szCs w:val="24"/>
          <w:lang w:eastAsia="lt-LT"/>
        </w:rPr>
        <w:t xml:space="preserve"> nustatytus reikalavimus, tinkamai juos vykdė; </w:t>
      </w:r>
    </w:p>
    <w:p w14:paraId="6BC36320" w14:textId="74C0C482" w:rsidR="00AD2242" w:rsidRPr="001857AD" w:rsidRDefault="00AD2242"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2)</w:t>
      </w:r>
      <w:r w:rsidRPr="001857AD">
        <w:rPr>
          <w:rFonts w:ascii="Times New Roman" w:hAnsi="Times New Roman" w:cs="Times New Roman"/>
          <w:sz w:val="24"/>
          <w:szCs w:val="24"/>
          <w:lang w:eastAsia="lt-LT"/>
        </w:rPr>
        <w:t xml:space="preserve"> ar, vadovaujantis šios techninės specifikacijos 2 punkte nurodytais teisės aktais, </w:t>
      </w:r>
      <w:r w:rsidR="00CC4E53" w:rsidRPr="001857AD">
        <w:rPr>
          <w:rFonts w:ascii="Times New Roman" w:hAnsi="Times New Roman" w:cs="Times New Roman"/>
          <w:sz w:val="24"/>
          <w:szCs w:val="24"/>
          <w:lang w:eastAsia="lt-LT"/>
        </w:rPr>
        <w:t>Ū</w:t>
      </w:r>
      <w:r w:rsidRPr="001857AD">
        <w:rPr>
          <w:rFonts w:ascii="Times New Roman" w:hAnsi="Times New Roman" w:cs="Times New Roman"/>
          <w:sz w:val="24"/>
          <w:szCs w:val="24"/>
          <w:lang w:eastAsia="lt-LT"/>
        </w:rPr>
        <w:t>kio subjekto vykdytų veiklų išlaidos, pajamos, turtas ir įsipareigojimai buvo paskirstyti tinkamai.</w:t>
      </w:r>
    </w:p>
    <w:p w14:paraId="1F5CFCD7" w14:textId="31B64EF9" w:rsidR="00251259" w:rsidRDefault="00085052"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Audito paslaugų teikėjas (toliau</w:t>
      </w:r>
      <w:r w:rsidR="006A7FAE"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w:t>
      </w:r>
      <w:r w:rsidR="006A7FAE"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 xml:space="preserve">teikėjas) </w:t>
      </w:r>
      <w:r w:rsidR="009A278C" w:rsidRPr="001857AD">
        <w:rPr>
          <w:rFonts w:ascii="Times New Roman" w:hAnsi="Times New Roman" w:cs="Times New Roman"/>
          <w:sz w:val="24"/>
          <w:szCs w:val="24"/>
          <w:lang w:eastAsia="lt-LT"/>
        </w:rPr>
        <w:t>privalo atlikti auditą ne mažesne apimtimi</w:t>
      </w:r>
      <w:r w:rsidR="006A7FAE" w:rsidRPr="001857AD">
        <w:rPr>
          <w:rFonts w:ascii="Times New Roman" w:hAnsi="Times New Roman" w:cs="Times New Roman"/>
          <w:sz w:val="24"/>
          <w:szCs w:val="24"/>
          <w:lang w:eastAsia="lt-LT"/>
        </w:rPr>
        <w:t>,</w:t>
      </w:r>
      <w:r w:rsidR="00A41C7A" w:rsidRPr="001857AD">
        <w:rPr>
          <w:rFonts w:ascii="Times New Roman" w:hAnsi="Times New Roman" w:cs="Times New Roman"/>
          <w:sz w:val="24"/>
          <w:szCs w:val="24"/>
          <w:lang w:eastAsia="lt-LT"/>
        </w:rPr>
        <w:t xml:space="preserve"> nei nurodyta šios techninės specifikacijos </w:t>
      </w:r>
      <w:r w:rsidR="008F14D7" w:rsidRPr="001857AD">
        <w:rPr>
          <w:rFonts w:ascii="Times New Roman" w:hAnsi="Times New Roman" w:cs="Times New Roman"/>
          <w:sz w:val="24"/>
          <w:szCs w:val="24"/>
          <w:lang w:eastAsia="lt-LT"/>
        </w:rPr>
        <w:t>2.2 papunktyje</w:t>
      </w:r>
      <w:r w:rsidR="005610E3" w:rsidRPr="001857AD">
        <w:rPr>
          <w:rFonts w:ascii="Times New Roman" w:hAnsi="Times New Roman" w:cs="Times New Roman"/>
          <w:sz w:val="24"/>
          <w:szCs w:val="24"/>
          <w:lang w:eastAsia="lt-LT"/>
        </w:rPr>
        <w:t xml:space="preserve">, </w:t>
      </w:r>
      <w:r w:rsidR="008F14D7" w:rsidRPr="001857AD">
        <w:rPr>
          <w:rFonts w:ascii="Times New Roman" w:hAnsi="Times New Roman" w:cs="Times New Roman"/>
          <w:sz w:val="24"/>
          <w:szCs w:val="24"/>
          <w:lang w:eastAsia="lt-LT"/>
        </w:rPr>
        <w:t>bei</w:t>
      </w:r>
      <w:r w:rsidR="00F13653" w:rsidRPr="001857AD">
        <w:rPr>
          <w:rFonts w:ascii="Times New Roman" w:hAnsi="Times New Roman" w:cs="Times New Roman"/>
          <w:sz w:val="24"/>
          <w:szCs w:val="24"/>
          <w:lang w:eastAsia="lt-LT"/>
        </w:rPr>
        <w:t xml:space="preserve"> papildomai numatyti ir įvertinti </w:t>
      </w:r>
      <w:r w:rsidR="008778FC" w:rsidRPr="001857AD">
        <w:rPr>
          <w:rFonts w:ascii="Times New Roman" w:hAnsi="Times New Roman" w:cs="Times New Roman"/>
          <w:sz w:val="24"/>
          <w:szCs w:val="24"/>
          <w:lang w:eastAsia="lt-LT"/>
        </w:rPr>
        <w:t xml:space="preserve">visas, ne tik </w:t>
      </w:r>
      <w:r w:rsidR="00AB71B7" w:rsidRPr="001857AD">
        <w:rPr>
          <w:rFonts w:ascii="Times New Roman" w:hAnsi="Times New Roman" w:cs="Times New Roman"/>
          <w:sz w:val="24"/>
          <w:szCs w:val="24"/>
          <w:lang w:eastAsia="lt-LT"/>
        </w:rPr>
        <w:t>nurodytas</w:t>
      </w:r>
      <w:r w:rsidR="0001433B" w:rsidRPr="001857AD">
        <w:rPr>
          <w:rFonts w:ascii="Times New Roman" w:hAnsi="Times New Roman" w:cs="Times New Roman"/>
          <w:sz w:val="24"/>
          <w:szCs w:val="24"/>
          <w:lang w:eastAsia="lt-LT"/>
        </w:rPr>
        <w:t xml:space="preserve"> </w:t>
      </w:r>
      <w:r w:rsidR="00205E72" w:rsidRPr="001857AD">
        <w:rPr>
          <w:rFonts w:ascii="Times New Roman" w:hAnsi="Times New Roman" w:cs="Times New Roman"/>
          <w:sz w:val="24"/>
          <w:szCs w:val="24"/>
          <w:lang w:eastAsia="lt-LT"/>
        </w:rPr>
        <w:t xml:space="preserve">šios techninės specifikacijos </w:t>
      </w:r>
      <w:r w:rsidR="00F13653" w:rsidRPr="001857AD">
        <w:rPr>
          <w:rFonts w:ascii="Times New Roman" w:hAnsi="Times New Roman" w:cs="Times New Roman"/>
          <w:sz w:val="24"/>
          <w:szCs w:val="24"/>
          <w:lang w:eastAsia="lt-LT"/>
        </w:rPr>
        <w:t>2.2 papunktyje už</w:t>
      </w:r>
      <w:r w:rsidR="007D59B3" w:rsidRPr="001857AD">
        <w:rPr>
          <w:rFonts w:ascii="Times New Roman" w:hAnsi="Times New Roman" w:cs="Times New Roman"/>
          <w:sz w:val="24"/>
          <w:szCs w:val="24"/>
          <w:lang w:eastAsia="lt-LT"/>
        </w:rPr>
        <w:t>duotis (darbus), reikaling</w:t>
      </w:r>
      <w:r w:rsidR="00205E72" w:rsidRPr="001857AD">
        <w:rPr>
          <w:rFonts w:ascii="Times New Roman" w:hAnsi="Times New Roman" w:cs="Times New Roman"/>
          <w:sz w:val="24"/>
          <w:szCs w:val="24"/>
          <w:lang w:eastAsia="lt-LT"/>
        </w:rPr>
        <w:t>a</w:t>
      </w:r>
      <w:r w:rsidR="007D59B3" w:rsidRPr="001857AD">
        <w:rPr>
          <w:rFonts w:ascii="Times New Roman" w:hAnsi="Times New Roman" w:cs="Times New Roman"/>
          <w:sz w:val="24"/>
          <w:szCs w:val="24"/>
          <w:lang w:eastAsia="lt-LT"/>
        </w:rPr>
        <w:t>s tinkamai pasiruošti ir atlikti auditą.</w:t>
      </w:r>
    </w:p>
    <w:p w14:paraId="655677C2" w14:textId="7A46BA15" w:rsidR="00F44A64" w:rsidRPr="001857AD" w:rsidRDefault="00F44A64" w:rsidP="00F44A64">
      <w:pPr>
        <w:autoSpaceDE w:val="0"/>
        <w:autoSpaceDN w:val="0"/>
        <w:adjustRightInd w:val="0"/>
        <w:spacing w:after="0" w:line="240" w:lineRule="auto"/>
        <w:ind w:firstLine="567"/>
        <w:rPr>
          <w:rFonts w:ascii="Times New Roman" w:hAnsi="Times New Roman" w:cs="Times New Roman"/>
          <w:sz w:val="24"/>
          <w:szCs w:val="24"/>
          <w:lang w:eastAsia="lt-LT"/>
        </w:rPr>
      </w:pPr>
      <w:r w:rsidRPr="00644678">
        <w:rPr>
          <w:rFonts w:ascii="Times New Roman" w:hAnsi="Times New Roman" w:cs="Times New Roman"/>
          <w:sz w:val="24"/>
          <w:szCs w:val="24"/>
          <w:lang w:eastAsia="lt-LT"/>
        </w:rPr>
        <w:t xml:space="preserve">Auditas atliekamas bei galutinė audito ataskaita už 2025 m. turi būti parengta iki 2026 m. </w:t>
      </w:r>
      <w:r w:rsidR="005C586C" w:rsidRPr="00644678">
        <w:rPr>
          <w:rFonts w:ascii="Times New Roman" w:hAnsi="Times New Roman" w:cs="Times New Roman"/>
          <w:sz w:val="24"/>
          <w:szCs w:val="24"/>
          <w:lang w:eastAsia="lt-LT"/>
        </w:rPr>
        <w:t>rugpj</w:t>
      </w:r>
      <w:r w:rsidR="00A44D4A" w:rsidRPr="00644678">
        <w:rPr>
          <w:rFonts w:ascii="Times New Roman" w:hAnsi="Times New Roman" w:cs="Times New Roman"/>
          <w:sz w:val="24"/>
          <w:szCs w:val="24"/>
          <w:lang w:eastAsia="lt-LT"/>
        </w:rPr>
        <w:t>ūči</w:t>
      </w:r>
      <w:r w:rsidRPr="00644678">
        <w:rPr>
          <w:rFonts w:ascii="Times New Roman" w:hAnsi="Times New Roman" w:cs="Times New Roman"/>
          <w:sz w:val="24"/>
          <w:szCs w:val="24"/>
          <w:lang w:eastAsia="lt-LT"/>
        </w:rPr>
        <w:t>o 1</w:t>
      </w:r>
      <w:r w:rsidR="00A44D4A" w:rsidRPr="00644678">
        <w:rPr>
          <w:rFonts w:ascii="Times New Roman" w:hAnsi="Times New Roman" w:cs="Times New Roman"/>
          <w:sz w:val="24"/>
          <w:szCs w:val="24"/>
          <w:lang w:eastAsia="lt-LT"/>
        </w:rPr>
        <w:t>5</w:t>
      </w:r>
      <w:r w:rsidRPr="00644678">
        <w:rPr>
          <w:rFonts w:ascii="Times New Roman" w:hAnsi="Times New Roman" w:cs="Times New Roman"/>
          <w:sz w:val="24"/>
          <w:szCs w:val="24"/>
          <w:lang w:eastAsia="lt-LT"/>
        </w:rPr>
        <w:t xml:space="preserve"> d., o preliminari ataskaita parengta ne vėliau kaip iki 2026 m. </w:t>
      </w:r>
      <w:r w:rsidR="00A44D4A" w:rsidRPr="00644678">
        <w:rPr>
          <w:rFonts w:ascii="Times New Roman" w:hAnsi="Times New Roman" w:cs="Times New Roman"/>
          <w:sz w:val="24"/>
          <w:szCs w:val="24"/>
          <w:lang w:eastAsia="lt-LT"/>
        </w:rPr>
        <w:t>rugpjūčio</w:t>
      </w:r>
      <w:r w:rsidRPr="00644678">
        <w:rPr>
          <w:rFonts w:ascii="Times New Roman" w:hAnsi="Times New Roman" w:cs="Times New Roman"/>
          <w:sz w:val="24"/>
          <w:szCs w:val="24"/>
          <w:lang w:eastAsia="lt-LT"/>
        </w:rPr>
        <w:t xml:space="preserve"> </w:t>
      </w:r>
      <w:r w:rsidR="00A44D4A" w:rsidRPr="00644678">
        <w:rPr>
          <w:rFonts w:ascii="Times New Roman" w:hAnsi="Times New Roman" w:cs="Times New Roman"/>
          <w:sz w:val="24"/>
          <w:szCs w:val="24"/>
          <w:lang w:eastAsia="lt-LT"/>
        </w:rPr>
        <w:t>5</w:t>
      </w:r>
      <w:r w:rsidRPr="00644678">
        <w:rPr>
          <w:rFonts w:ascii="Times New Roman" w:hAnsi="Times New Roman" w:cs="Times New Roman"/>
          <w:sz w:val="24"/>
          <w:szCs w:val="24"/>
          <w:lang w:eastAsia="lt-LT"/>
        </w:rPr>
        <w:t xml:space="preserve"> d.</w:t>
      </w:r>
      <w:r w:rsidR="008E4D27" w:rsidRPr="00644678">
        <w:t xml:space="preserve"> </w:t>
      </w:r>
      <w:r w:rsidR="008E4D27" w:rsidRPr="00644678">
        <w:rPr>
          <w:rFonts w:ascii="Times New Roman" w:hAnsi="Times New Roman" w:cs="Times New Roman"/>
          <w:sz w:val="24"/>
          <w:szCs w:val="24"/>
          <w:lang w:eastAsia="lt-LT"/>
        </w:rPr>
        <w:t xml:space="preserve">Telecentras duomenis pateiks </w:t>
      </w:r>
      <w:r w:rsidR="00775713" w:rsidRPr="00644678">
        <w:rPr>
          <w:rFonts w:ascii="Times New Roman" w:hAnsi="Times New Roman" w:cs="Times New Roman"/>
          <w:sz w:val="24"/>
          <w:szCs w:val="24"/>
          <w:lang w:eastAsia="lt-LT"/>
        </w:rPr>
        <w:t>po sutarties pasirašymo</w:t>
      </w:r>
      <w:r w:rsidR="006051E2" w:rsidRPr="00644678">
        <w:rPr>
          <w:rFonts w:ascii="Times New Roman" w:hAnsi="Times New Roman" w:cs="Times New Roman"/>
          <w:sz w:val="24"/>
          <w:szCs w:val="24"/>
          <w:lang w:eastAsia="lt-LT"/>
        </w:rPr>
        <w:t xml:space="preserve">, be </w:t>
      </w:r>
      <w:r w:rsidR="008E4D27" w:rsidRPr="00644678">
        <w:rPr>
          <w:rFonts w:ascii="Times New Roman" w:hAnsi="Times New Roman" w:cs="Times New Roman"/>
          <w:sz w:val="24"/>
          <w:szCs w:val="24"/>
          <w:lang w:eastAsia="lt-LT"/>
        </w:rPr>
        <w:t xml:space="preserve">ne </w:t>
      </w:r>
      <w:r w:rsidR="006051E2" w:rsidRPr="00644678">
        <w:rPr>
          <w:rFonts w:ascii="Times New Roman" w:hAnsi="Times New Roman" w:cs="Times New Roman"/>
          <w:sz w:val="24"/>
          <w:szCs w:val="24"/>
          <w:lang w:eastAsia="lt-LT"/>
        </w:rPr>
        <w:t xml:space="preserve">anksčiau </w:t>
      </w:r>
      <w:r w:rsidR="008E4D27" w:rsidRPr="00644678">
        <w:rPr>
          <w:rFonts w:ascii="Times New Roman" w:hAnsi="Times New Roman" w:cs="Times New Roman"/>
          <w:sz w:val="24"/>
          <w:szCs w:val="24"/>
          <w:lang w:eastAsia="lt-LT"/>
        </w:rPr>
        <w:t>kaip gegu</w:t>
      </w:r>
      <w:r w:rsidR="00F93D69" w:rsidRPr="00644678">
        <w:rPr>
          <w:rFonts w:ascii="Times New Roman" w:hAnsi="Times New Roman" w:cs="Times New Roman"/>
          <w:sz w:val="24"/>
          <w:szCs w:val="24"/>
          <w:lang w:eastAsia="lt-LT"/>
        </w:rPr>
        <w:t>žės</w:t>
      </w:r>
      <w:r w:rsidR="008E4D27" w:rsidRPr="00644678">
        <w:rPr>
          <w:rFonts w:ascii="Times New Roman" w:hAnsi="Times New Roman" w:cs="Times New Roman"/>
          <w:sz w:val="24"/>
          <w:szCs w:val="24"/>
          <w:lang w:eastAsia="lt-LT"/>
        </w:rPr>
        <w:t xml:space="preserve"> </w:t>
      </w:r>
      <w:r w:rsidR="00C7749E" w:rsidRPr="00644678">
        <w:rPr>
          <w:rFonts w:ascii="Times New Roman" w:hAnsi="Times New Roman" w:cs="Times New Roman"/>
          <w:sz w:val="24"/>
          <w:szCs w:val="24"/>
          <w:lang w:eastAsia="lt-LT"/>
        </w:rPr>
        <w:t>2</w:t>
      </w:r>
      <w:r w:rsidR="00F93D69" w:rsidRPr="00644678">
        <w:rPr>
          <w:rFonts w:ascii="Times New Roman" w:hAnsi="Times New Roman" w:cs="Times New Roman"/>
          <w:sz w:val="24"/>
          <w:szCs w:val="24"/>
          <w:lang w:eastAsia="lt-LT"/>
        </w:rPr>
        <w:t>5</w:t>
      </w:r>
      <w:r w:rsidR="008E4D27" w:rsidRPr="00644678">
        <w:rPr>
          <w:rFonts w:ascii="Times New Roman" w:hAnsi="Times New Roman" w:cs="Times New Roman"/>
          <w:sz w:val="24"/>
          <w:szCs w:val="24"/>
          <w:lang w:eastAsia="lt-LT"/>
        </w:rPr>
        <w:t xml:space="preserve"> d. už praeitą ataskaitinį laikotarpį</w:t>
      </w:r>
      <w:r w:rsidR="003208FA" w:rsidRPr="00644678">
        <w:rPr>
          <w:rFonts w:ascii="Times New Roman" w:hAnsi="Times New Roman" w:cs="Times New Roman"/>
          <w:sz w:val="24"/>
          <w:szCs w:val="24"/>
          <w:lang w:eastAsia="lt-LT"/>
        </w:rPr>
        <w:t>.</w:t>
      </w:r>
    </w:p>
    <w:p w14:paraId="7E559E87" w14:textId="2A36EA5B" w:rsidR="00AD7F47" w:rsidRPr="001857AD" w:rsidRDefault="00731319"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Techninėje specifikacijoje naudojamos sąvokos</w:t>
      </w:r>
      <w:r w:rsidR="007867B3" w:rsidRPr="001857AD">
        <w:rPr>
          <w:rFonts w:ascii="Times New Roman" w:hAnsi="Times New Roman" w:cs="Times New Roman"/>
          <w:sz w:val="24"/>
          <w:szCs w:val="24"/>
          <w:lang w:eastAsia="lt-LT"/>
        </w:rPr>
        <w:t xml:space="preserve"> apibrėžtos </w:t>
      </w:r>
      <w:r w:rsidR="00F145CB" w:rsidRPr="001857AD">
        <w:rPr>
          <w:rFonts w:ascii="Times New Roman" w:hAnsi="Times New Roman" w:cs="Times New Roman"/>
          <w:sz w:val="24"/>
          <w:szCs w:val="24"/>
          <w:lang w:eastAsia="lt-LT"/>
        </w:rPr>
        <w:t>Lietuvos Respublikos elektroninių ryšių įstatyme</w:t>
      </w:r>
      <w:r w:rsidR="00ED32B8" w:rsidRPr="001857AD">
        <w:rPr>
          <w:rFonts w:ascii="Times New Roman" w:hAnsi="Times New Roman" w:cs="Times New Roman"/>
          <w:sz w:val="24"/>
          <w:szCs w:val="24"/>
          <w:lang w:eastAsia="lt-LT"/>
        </w:rPr>
        <w:t xml:space="preserve"> (toliau – ERĮ), </w:t>
      </w:r>
      <w:r w:rsidR="00F33C04" w:rsidRPr="001857AD">
        <w:rPr>
          <w:rFonts w:ascii="Times New Roman" w:hAnsi="Times New Roman" w:cs="Times New Roman"/>
          <w:sz w:val="24"/>
          <w:szCs w:val="24"/>
          <w:lang w:eastAsia="lt-LT"/>
        </w:rPr>
        <w:t>Reguliavimo apskaitos taisyklėse</w:t>
      </w:r>
      <w:r w:rsidR="00CF565F" w:rsidRPr="001857AD">
        <w:rPr>
          <w:rFonts w:ascii="Times New Roman" w:hAnsi="Times New Roman" w:cs="Times New Roman"/>
          <w:sz w:val="24"/>
          <w:szCs w:val="24"/>
          <w:lang w:eastAsia="lt-LT"/>
        </w:rPr>
        <w:t>, Lietuvos Respublikos įmonių finansinės atskaitomybės įstatyme</w:t>
      </w:r>
      <w:r w:rsidR="00703E51" w:rsidRPr="001857AD">
        <w:rPr>
          <w:rFonts w:ascii="Times New Roman" w:hAnsi="Times New Roman" w:cs="Times New Roman"/>
          <w:sz w:val="24"/>
          <w:szCs w:val="24"/>
          <w:lang w:eastAsia="lt-LT"/>
        </w:rPr>
        <w:t>, Lietuvos Respublikos finansinių ataskaitų audito įstatyme ir tarptautiniuose apskaitos standartuose.</w:t>
      </w:r>
    </w:p>
    <w:p w14:paraId="414071DB" w14:textId="292352A1" w:rsidR="00AD2242" w:rsidRPr="001857AD" w:rsidRDefault="0059435D" w:rsidP="00AD2242">
      <w:pPr>
        <w:numPr>
          <w:ilvl w:val="0"/>
          <w:numId w:val="1"/>
        </w:numPr>
        <w:autoSpaceDN w:val="0"/>
        <w:spacing w:after="0" w:line="240" w:lineRule="auto"/>
        <w:ind w:left="0" w:firstLine="567"/>
        <w:contextualSpacing/>
        <w:rPr>
          <w:rFonts w:ascii="Times New Roman" w:eastAsia="Times New Roman" w:hAnsi="Times New Roman" w:cs="Times New Roman"/>
          <w:sz w:val="24"/>
          <w:szCs w:val="24"/>
          <w:lang w:eastAsia="lt-LT"/>
        </w:rPr>
      </w:pPr>
      <w:r w:rsidRPr="001857AD">
        <w:rPr>
          <w:rFonts w:ascii="Times New Roman" w:hAnsi="Times New Roman" w:cs="Times New Roman"/>
          <w:sz w:val="24"/>
          <w:szCs w:val="24"/>
          <w:lang w:eastAsia="lt-LT"/>
        </w:rPr>
        <w:t>Reikalavimai audito paslaugai</w:t>
      </w:r>
      <w:r w:rsidR="00AD2242" w:rsidRPr="001857AD">
        <w:rPr>
          <w:rFonts w:ascii="Times New Roman" w:hAnsi="Times New Roman" w:cs="Times New Roman"/>
          <w:sz w:val="24"/>
          <w:szCs w:val="24"/>
          <w:lang w:eastAsia="lt-LT"/>
        </w:rPr>
        <w:t>:</w:t>
      </w:r>
    </w:p>
    <w:p w14:paraId="1F0AF6C4" w14:textId="2DCC9CE9" w:rsidR="0084348C" w:rsidRPr="001857AD" w:rsidRDefault="00AA51B9" w:rsidP="0084348C">
      <w:pPr>
        <w:autoSpaceDN w:val="0"/>
        <w:spacing w:after="0" w:line="240" w:lineRule="auto"/>
        <w:ind w:left="567"/>
        <w:contextualSpacing/>
        <w:rPr>
          <w:rFonts w:ascii="Times New Roman" w:eastAsia="Times New Roman" w:hAnsi="Times New Roman" w:cs="Times New Roman"/>
          <w:sz w:val="24"/>
          <w:szCs w:val="24"/>
          <w:lang w:eastAsia="lt-LT"/>
        </w:rPr>
      </w:pPr>
      <w:r w:rsidRPr="001857AD">
        <w:rPr>
          <w:rFonts w:ascii="Times New Roman" w:hAnsi="Times New Roman" w:cs="Times New Roman"/>
          <w:sz w:val="24"/>
          <w:szCs w:val="24"/>
          <w:lang w:eastAsia="lt-LT"/>
        </w:rPr>
        <w:t>2.1. Auditas atliekamas vadovaujantis:</w:t>
      </w:r>
    </w:p>
    <w:p w14:paraId="605CBBD8"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a) šia technine specifikacija;</w:t>
      </w:r>
    </w:p>
    <w:p w14:paraId="609F2CC7"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rPr>
        <w:t>b) Lietuvos Respublikos finansinių ataskaitų audito įstatymu;</w:t>
      </w:r>
    </w:p>
    <w:p w14:paraId="5585A9EE" w14:textId="3A006F70"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rPr>
        <w:t xml:space="preserve">c) Tarptautinės audito ir </w:t>
      </w:r>
      <w:r w:rsidR="003C4C80" w:rsidRPr="001857AD">
        <w:rPr>
          <w:rFonts w:ascii="Times New Roman" w:hAnsi="Times New Roman" w:cs="Times New Roman"/>
          <w:color w:val="000000"/>
          <w:sz w:val="24"/>
          <w:szCs w:val="24"/>
        </w:rPr>
        <w:t xml:space="preserve">užtikrinimo </w:t>
      </w:r>
      <w:r w:rsidRPr="001857AD">
        <w:rPr>
          <w:rFonts w:ascii="Times New Roman" w:hAnsi="Times New Roman" w:cs="Times New Roman"/>
          <w:color w:val="000000"/>
          <w:sz w:val="24"/>
          <w:szCs w:val="24"/>
        </w:rPr>
        <w:t xml:space="preserve">standartų valdybos (angl. </w:t>
      </w:r>
      <w:r w:rsidRPr="001857AD">
        <w:rPr>
          <w:rFonts w:ascii="Times New Roman" w:hAnsi="Times New Roman" w:cs="Times New Roman"/>
          <w:i/>
          <w:iCs/>
          <w:color w:val="000000"/>
          <w:sz w:val="24"/>
          <w:szCs w:val="24"/>
        </w:rPr>
        <w:t>International Auditing and Assurance Standards Boards</w:t>
      </w:r>
      <w:r w:rsidRPr="001857AD">
        <w:rPr>
          <w:rFonts w:ascii="Times New Roman" w:hAnsi="Times New Roman" w:cs="Times New Roman"/>
          <w:color w:val="000000"/>
          <w:sz w:val="24"/>
          <w:szCs w:val="24"/>
        </w:rPr>
        <w:t xml:space="preserve">) patvirtintu 800-uoju tarptautiniu audito standartu (persvarstytu) „Specialūs svarstymai – pagal specialios paskirties tvarką sudarytų finansinių ataskaitų auditas“ ir kitais taikytinais tarptautiniais audito standartais (toliau – TAS), kaip tai numato minėtas 800-asis TAS; </w:t>
      </w:r>
    </w:p>
    <w:p w14:paraId="03D4EEEC"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d) ERĮ;</w:t>
      </w:r>
    </w:p>
    <w:p w14:paraId="1ADE96F3"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e) Reguliavimo apskaitos taisyklėmis;</w:t>
      </w:r>
    </w:p>
    <w:p w14:paraId="68519921"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h) kitais teisės aktais.</w:t>
      </w:r>
    </w:p>
    <w:p w14:paraId="1D6C7150" w14:textId="3DBFF261" w:rsidR="00AD2242" w:rsidRPr="001857AD" w:rsidRDefault="00AD2242" w:rsidP="00AD2242">
      <w:pPr>
        <w:autoSpaceDE w:val="0"/>
        <w:autoSpaceDN w:val="0"/>
        <w:adjustRightInd w:val="0"/>
        <w:spacing w:after="0" w:line="240" w:lineRule="auto"/>
        <w:ind w:left="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2.</w:t>
      </w:r>
      <w:r w:rsidR="00D83AAF" w:rsidRPr="001857AD">
        <w:rPr>
          <w:rFonts w:ascii="Times New Roman" w:hAnsi="Times New Roman" w:cs="Times New Roman"/>
          <w:color w:val="000000"/>
          <w:sz w:val="24"/>
          <w:szCs w:val="24"/>
          <w:lang w:eastAsia="lt-LT"/>
        </w:rPr>
        <w:t>2</w:t>
      </w:r>
      <w:r w:rsidRPr="001857AD">
        <w:rPr>
          <w:rFonts w:ascii="Times New Roman" w:hAnsi="Times New Roman" w:cs="Times New Roman"/>
          <w:color w:val="000000"/>
          <w:sz w:val="24"/>
          <w:szCs w:val="24"/>
          <w:lang w:eastAsia="lt-LT"/>
        </w:rPr>
        <w:t xml:space="preserve">. Audito metu </w:t>
      </w:r>
      <w:r w:rsidR="00B929E1" w:rsidRPr="001857AD">
        <w:rPr>
          <w:rFonts w:ascii="Times New Roman" w:hAnsi="Times New Roman" w:cs="Times New Roman"/>
          <w:color w:val="000000"/>
          <w:sz w:val="24"/>
          <w:szCs w:val="24"/>
          <w:lang w:eastAsia="lt-LT"/>
        </w:rPr>
        <w:t xml:space="preserve">teikėjas </w:t>
      </w:r>
      <w:r w:rsidRPr="001857AD">
        <w:rPr>
          <w:rFonts w:ascii="Times New Roman" w:hAnsi="Times New Roman" w:cs="Times New Roman"/>
          <w:color w:val="000000"/>
          <w:sz w:val="24"/>
          <w:szCs w:val="24"/>
          <w:lang w:eastAsia="lt-LT"/>
        </w:rPr>
        <w:t>privalo:</w:t>
      </w:r>
    </w:p>
    <w:p w14:paraId="6443DA3C" w14:textId="48F0A1EC" w:rsidR="00AD2242" w:rsidRPr="001857AD" w:rsidRDefault="00DF4AFB" w:rsidP="00DF4AFB">
      <w:pPr>
        <w:autoSpaceDN w:val="0"/>
        <w:spacing w:after="0" w:line="240" w:lineRule="auto"/>
        <w:ind w:left="72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2.2.1.</w:t>
      </w:r>
      <w:r w:rsidR="00AD2242" w:rsidRPr="001857AD">
        <w:rPr>
          <w:rFonts w:ascii="Times New Roman" w:hAnsi="Times New Roman" w:cs="Times New Roman"/>
          <w:sz w:val="24"/>
          <w:szCs w:val="24"/>
          <w:lang w:eastAsia="lt-LT"/>
        </w:rPr>
        <w:t xml:space="preserve"> susipažinti:</w:t>
      </w:r>
    </w:p>
    <w:p w14:paraId="37D68A64" w14:textId="6256ACE9" w:rsidR="0007613C" w:rsidRPr="001857AD" w:rsidRDefault="00363BE8" w:rsidP="0007613C">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w:t>
      </w:r>
      <w:r w:rsidR="00084FF9" w:rsidRPr="001857AD">
        <w:rPr>
          <w:rFonts w:ascii="Times New Roman" w:hAnsi="Times New Roman" w:cs="Times New Roman"/>
          <w:sz w:val="24"/>
          <w:szCs w:val="24"/>
          <w:lang w:eastAsia="lt-LT"/>
        </w:rPr>
        <w:t>1.1.</w:t>
      </w:r>
      <w:r w:rsidR="00AD2242" w:rsidRPr="001857AD">
        <w:rPr>
          <w:rFonts w:ascii="Times New Roman" w:hAnsi="Times New Roman" w:cs="Times New Roman"/>
          <w:sz w:val="24"/>
          <w:szCs w:val="24"/>
          <w:lang w:eastAsia="lt-LT"/>
        </w:rPr>
        <w:t xml:space="preserve"> </w:t>
      </w:r>
      <w:r w:rsidR="00D477A8" w:rsidRPr="00D477A8">
        <w:rPr>
          <w:rFonts w:ascii="Times New Roman" w:hAnsi="Times New Roman" w:cs="Times New Roman"/>
          <w:sz w:val="24"/>
          <w:szCs w:val="24"/>
          <w:lang w:eastAsia="lt-LT"/>
        </w:rPr>
        <w:t xml:space="preserve">su Telecentro sąnaudų apskaitos sistema (Sąnaudų apskaitos taisyklių 6.27 papunktis) ir apskaitos atskyrimo sistema (Apskaitos atskyrimo taisyklių 6.1 papunktis) (toliau abi kartu – Reguliavimo apskaitos sistema) bei 2025 m. Reguliavimo apskaitos sistemos informacija ir </w:t>
      </w:r>
      <w:r w:rsidR="00D477A8" w:rsidRPr="00D477A8">
        <w:rPr>
          <w:rFonts w:ascii="Times New Roman" w:hAnsi="Times New Roman" w:cs="Times New Roman"/>
          <w:sz w:val="24"/>
          <w:szCs w:val="24"/>
          <w:lang w:eastAsia="lt-LT"/>
        </w:rPr>
        <w:lastRenderedPageBreak/>
        <w:t>ataskaitomis (toliau kartu – metinis ataskaitų rinkinys) tiek, kiek, teikėjo profesiniu vertinimu, būtina, kad teikėjas galėtų pateikti šios techninės specifikacijos 5 punkte nurodytus dokumentus;</w:t>
      </w:r>
      <w:r w:rsidR="00A70CF4" w:rsidRPr="001857AD">
        <w:rPr>
          <w:rFonts w:ascii="Times New Roman" w:hAnsi="Times New Roman" w:cs="Times New Roman"/>
          <w:sz w:val="24"/>
          <w:szCs w:val="24"/>
          <w:lang w:eastAsia="lt-LT"/>
        </w:rPr>
        <w:t>.</w:t>
      </w:r>
    </w:p>
    <w:p w14:paraId="2941AC5A" w14:textId="7DD6E481" w:rsidR="00AD2242" w:rsidRPr="001857AD" w:rsidRDefault="00A458AB" w:rsidP="00371537">
      <w:pPr>
        <w:autoSpaceDN w:val="0"/>
        <w:spacing w:after="0" w:line="240" w:lineRule="auto"/>
        <w:ind w:firstLine="108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2.2.1.2. </w:t>
      </w:r>
      <w:r w:rsidR="00AD2242" w:rsidRPr="001857AD">
        <w:rPr>
          <w:rFonts w:ascii="Times New Roman" w:hAnsi="Times New Roman" w:cs="Times New Roman"/>
          <w:sz w:val="24"/>
          <w:szCs w:val="24"/>
          <w:lang w:eastAsia="lt-LT"/>
        </w:rPr>
        <w:t xml:space="preserve">su </w:t>
      </w:r>
      <w:r w:rsidR="00EE72D0" w:rsidRPr="001857AD">
        <w:rPr>
          <w:rFonts w:ascii="Times New Roman" w:hAnsi="Times New Roman" w:cs="Times New Roman"/>
          <w:sz w:val="24"/>
          <w:szCs w:val="24"/>
          <w:lang w:eastAsia="lt-LT"/>
        </w:rPr>
        <w:t>Telecentro</w:t>
      </w:r>
      <w:r w:rsidR="00AD2242"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 xml:space="preserve">Reguliavimo apskaitos sistema bei </w:t>
      </w:r>
      <w:r w:rsidR="00371537" w:rsidRPr="001857AD">
        <w:rPr>
          <w:rFonts w:ascii="Times New Roman" w:hAnsi="Times New Roman" w:cs="Times New Roman"/>
          <w:sz w:val="24"/>
          <w:szCs w:val="24"/>
          <w:lang w:eastAsia="lt-LT"/>
        </w:rPr>
        <w:t>Ū</w:t>
      </w:r>
      <w:r w:rsidRPr="001857AD">
        <w:rPr>
          <w:rFonts w:ascii="Times New Roman" w:hAnsi="Times New Roman" w:cs="Times New Roman"/>
          <w:sz w:val="24"/>
          <w:szCs w:val="24"/>
          <w:lang w:eastAsia="lt-LT"/>
        </w:rPr>
        <w:t xml:space="preserve">kio subjekto vadovo ar jo </w:t>
      </w:r>
      <w:r w:rsidR="00371537" w:rsidRPr="001857AD">
        <w:rPr>
          <w:rFonts w:ascii="Times New Roman" w:hAnsi="Times New Roman" w:cs="Times New Roman"/>
          <w:sz w:val="24"/>
          <w:szCs w:val="24"/>
          <w:lang w:eastAsia="lt-LT"/>
        </w:rPr>
        <w:t>į</w:t>
      </w:r>
      <w:r w:rsidRPr="001857AD">
        <w:rPr>
          <w:rFonts w:ascii="Times New Roman" w:hAnsi="Times New Roman" w:cs="Times New Roman"/>
          <w:sz w:val="24"/>
          <w:szCs w:val="24"/>
          <w:lang w:eastAsia="lt-LT"/>
        </w:rPr>
        <w:t>galioto asmens patvirtintu naudojamos Reguliavimo apskaitos sistemos apra</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u (toliau – Sistemos apra</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as) tam, kad</w:t>
      </w:r>
      <w:r w:rsidR="00AD2242" w:rsidRPr="001857AD">
        <w:rPr>
          <w:rFonts w:ascii="Times New Roman" w:hAnsi="Times New Roman" w:cs="Times New Roman"/>
          <w:sz w:val="24"/>
          <w:szCs w:val="24"/>
          <w:lang w:eastAsia="lt-LT"/>
        </w:rPr>
        <w:t xml:space="preserve"> atsižvelgdamas į 315-ojo TAS „Reikšmingo iškraipymo rizikos nustatymas ir įvertinimas susipažįstant su įmone ir jos aplinka“, įvertintų reikšmingų iškraipymų riziką ir tinkamai suplanuotų bei atliktų auditą. Nustatydamas reikšmingumą, teikėjas turi laikytis reikšmingumui nustatyti taikomų TAS reikalavimų bei atsižvelgti į tai, kad audito išvados naudotojas yra </w:t>
      </w:r>
      <w:r w:rsidRPr="001857AD">
        <w:rPr>
          <w:rFonts w:ascii="Times New Roman" w:hAnsi="Times New Roman" w:cs="Times New Roman"/>
          <w:sz w:val="24"/>
          <w:szCs w:val="24"/>
          <w:lang w:eastAsia="lt-LT"/>
        </w:rPr>
        <w:t>Lietuvos Respublikos ry</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i</w:t>
      </w:r>
      <w:r w:rsidR="00371537" w:rsidRPr="001857AD">
        <w:rPr>
          <w:rFonts w:ascii="Times New Roman" w:hAnsi="Times New Roman" w:cs="Times New Roman"/>
          <w:sz w:val="24"/>
          <w:szCs w:val="24"/>
          <w:lang w:eastAsia="lt-LT"/>
        </w:rPr>
        <w:t>ų</w:t>
      </w:r>
      <w:r w:rsidRPr="001857AD">
        <w:rPr>
          <w:rFonts w:ascii="Times New Roman" w:hAnsi="Times New Roman" w:cs="Times New Roman"/>
          <w:sz w:val="24"/>
          <w:szCs w:val="24"/>
          <w:lang w:eastAsia="lt-LT"/>
        </w:rPr>
        <w:t xml:space="preserve"> reguliavimo tarnyba (toliau – RRT)</w:t>
      </w:r>
      <w:r w:rsidR="00AD2242" w:rsidRPr="001857AD">
        <w:rPr>
          <w:rFonts w:ascii="Times New Roman" w:hAnsi="Times New Roman" w:cs="Times New Roman"/>
          <w:sz w:val="24"/>
          <w:szCs w:val="24"/>
          <w:lang w:eastAsia="lt-LT"/>
        </w:rPr>
        <w:t xml:space="preserve">, kuri vadovaujasi </w:t>
      </w:r>
      <w:r w:rsidR="00371537" w:rsidRPr="001857AD">
        <w:rPr>
          <w:rFonts w:ascii="Times New Roman" w:hAnsi="Times New Roman" w:cs="Times New Roman"/>
          <w:sz w:val="24"/>
          <w:szCs w:val="24"/>
          <w:lang w:eastAsia="lt-LT"/>
        </w:rPr>
        <w:t xml:space="preserve">metiniu </w:t>
      </w:r>
      <w:r w:rsidR="00AD2242" w:rsidRPr="001857AD">
        <w:rPr>
          <w:rFonts w:ascii="Times New Roman" w:hAnsi="Times New Roman" w:cs="Times New Roman"/>
          <w:sz w:val="24"/>
          <w:szCs w:val="24"/>
          <w:lang w:eastAsia="lt-LT"/>
        </w:rPr>
        <w:t>ataskaitų rinkiniu siekiant įsitikinti</w:t>
      </w:r>
      <w:r w:rsidR="00765F93" w:rsidRPr="001857AD">
        <w:rPr>
          <w:rFonts w:ascii="Times New Roman" w:hAnsi="Times New Roman" w:cs="Times New Roman"/>
          <w:sz w:val="24"/>
          <w:szCs w:val="24"/>
          <w:lang w:eastAsia="lt-LT"/>
        </w:rPr>
        <w:t xml:space="preserve">, kad </w:t>
      </w:r>
      <w:r w:rsidR="00371537" w:rsidRPr="001857AD">
        <w:rPr>
          <w:rFonts w:ascii="Times New Roman" w:hAnsi="Times New Roman" w:cs="Times New Roman"/>
          <w:sz w:val="24"/>
          <w:szCs w:val="24"/>
          <w:lang w:eastAsia="lt-LT"/>
        </w:rPr>
        <w:t>Ū</w:t>
      </w:r>
      <w:r w:rsidR="00AD2242" w:rsidRPr="001857AD">
        <w:rPr>
          <w:rFonts w:ascii="Times New Roman" w:hAnsi="Times New Roman" w:cs="Times New Roman"/>
          <w:sz w:val="24"/>
          <w:szCs w:val="24"/>
          <w:lang w:eastAsia="lt-LT"/>
        </w:rPr>
        <w:t xml:space="preserve">kio subjekto </w:t>
      </w:r>
      <w:r w:rsidR="00371537" w:rsidRPr="001857AD">
        <w:rPr>
          <w:rFonts w:ascii="Times New Roman" w:hAnsi="Times New Roman" w:cs="Times New Roman"/>
          <w:sz w:val="24"/>
          <w:szCs w:val="24"/>
          <w:lang w:eastAsia="lt-LT"/>
        </w:rPr>
        <w:t>ataskaitiniais metais naudota Reguliavimo apskaitos sistema ir Sistemos aprašas atitinka Reguliavimo</w:t>
      </w:r>
      <w:r w:rsidR="00F92E88" w:rsidRPr="001857AD">
        <w:rPr>
          <w:rFonts w:ascii="Times New Roman" w:hAnsi="Times New Roman" w:cs="Times New Roman"/>
          <w:sz w:val="24"/>
          <w:szCs w:val="24"/>
          <w:lang w:eastAsia="lt-LT"/>
        </w:rPr>
        <w:t xml:space="preserve"> apskaitos</w:t>
      </w:r>
      <w:r w:rsidR="00371537" w:rsidRPr="001857AD">
        <w:rPr>
          <w:rFonts w:ascii="Times New Roman" w:hAnsi="Times New Roman" w:cs="Times New Roman"/>
          <w:sz w:val="24"/>
          <w:szCs w:val="24"/>
          <w:lang w:eastAsia="lt-LT"/>
        </w:rPr>
        <w:t xml:space="preserve"> taisyklių reikalavimus</w:t>
      </w:r>
      <w:r w:rsidR="00AD2242" w:rsidRPr="001857AD">
        <w:rPr>
          <w:rFonts w:ascii="Times New Roman" w:hAnsi="Times New Roman" w:cs="Times New Roman"/>
          <w:sz w:val="24"/>
          <w:szCs w:val="24"/>
          <w:lang w:eastAsia="lt-LT"/>
        </w:rPr>
        <w:t>;</w:t>
      </w:r>
    </w:p>
    <w:p w14:paraId="577DBCF4" w14:textId="464CB786" w:rsidR="00AD2242" w:rsidRPr="001857AD" w:rsidRDefault="00AD2242" w:rsidP="00371537">
      <w:pPr>
        <w:pStyle w:val="ListParagraph"/>
        <w:numPr>
          <w:ilvl w:val="2"/>
          <w:numId w:val="2"/>
        </w:numPr>
        <w:autoSpaceDN w:val="0"/>
        <w:spacing w:after="0" w:line="240" w:lineRule="auto"/>
        <w:rPr>
          <w:rFonts w:ascii="Times New Roman" w:hAnsi="Times New Roman" w:cs="Times New Roman"/>
          <w:sz w:val="24"/>
          <w:szCs w:val="24"/>
          <w:lang w:eastAsia="lt-LT"/>
        </w:rPr>
      </w:pPr>
      <w:r w:rsidRPr="001857AD">
        <w:rPr>
          <w:rFonts w:ascii="Times New Roman" w:hAnsi="Times New Roman" w:cs="Times New Roman"/>
          <w:sz w:val="24"/>
          <w:szCs w:val="24"/>
          <w:lang w:eastAsia="lt-LT"/>
        </w:rPr>
        <w:t>atlikti:</w:t>
      </w:r>
    </w:p>
    <w:p w14:paraId="0DC6C8B1" w14:textId="77CC0889" w:rsidR="00AD2242" w:rsidRPr="001857AD" w:rsidRDefault="00371537" w:rsidP="00371537">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2.2.2.1.</w:t>
      </w:r>
      <w:r w:rsidR="00AD2242"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Ūkio subjekto</w:t>
      </w:r>
      <w:r w:rsidR="00AD2242" w:rsidRPr="001857AD">
        <w:rPr>
          <w:rFonts w:ascii="Times New Roman" w:hAnsi="Times New Roman" w:cs="Times New Roman"/>
          <w:sz w:val="24"/>
          <w:szCs w:val="24"/>
          <w:lang w:eastAsia="lt-LT"/>
        </w:rPr>
        <w:t xml:space="preserve"> pajamų, sąnaudų, turto ir įsipareigojimų perkėlimo iš </w:t>
      </w:r>
      <w:r w:rsidR="00BF46E9" w:rsidRPr="001857AD">
        <w:rPr>
          <w:rFonts w:ascii="Times New Roman" w:hAnsi="Times New Roman" w:cs="Times New Roman"/>
          <w:sz w:val="24"/>
          <w:szCs w:val="24"/>
          <w:lang w:eastAsia="lt-LT"/>
        </w:rPr>
        <w:t xml:space="preserve">auditoriaus </w:t>
      </w:r>
      <w:r w:rsidRPr="001857AD">
        <w:rPr>
          <w:rFonts w:ascii="Times New Roman" w:hAnsi="Times New Roman" w:cs="Times New Roman"/>
          <w:sz w:val="24"/>
          <w:szCs w:val="24"/>
          <w:lang w:eastAsia="lt-LT"/>
        </w:rPr>
        <w:t xml:space="preserve">patikrintos </w:t>
      </w:r>
      <w:r w:rsidR="00AD2242" w:rsidRPr="001857AD">
        <w:rPr>
          <w:rFonts w:ascii="Times New Roman" w:hAnsi="Times New Roman" w:cs="Times New Roman"/>
          <w:sz w:val="24"/>
          <w:szCs w:val="24"/>
          <w:lang w:eastAsia="lt-LT"/>
        </w:rPr>
        <w:t>finansinės atskaitomybės</w:t>
      </w:r>
      <w:r w:rsidRPr="001857AD">
        <w:rPr>
          <w:rFonts w:ascii="Times New Roman" w:hAnsi="Times New Roman" w:cs="Times New Roman"/>
          <w:sz w:val="24"/>
          <w:szCs w:val="24"/>
          <w:lang w:eastAsia="lt-LT"/>
        </w:rPr>
        <w:t xml:space="preserve">, </w:t>
      </w:r>
      <w:r w:rsidR="00AD2242" w:rsidRPr="001857AD">
        <w:rPr>
          <w:rFonts w:ascii="Times New Roman" w:hAnsi="Times New Roman" w:cs="Times New Roman"/>
          <w:sz w:val="24"/>
          <w:szCs w:val="24"/>
          <w:lang w:eastAsia="lt-LT"/>
        </w:rPr>
        <w:t xml:space="preserve">įskaitant didžiosios knygos sąskaitų, iš kurių formuojami </w:t>
      </w:r>
      <w:r w:rsidR="00067807" w:rsidRPr="001857AD">
        <w:rPr>
          <w:rFonts w:ascii="Times New Roman" w:hAnsi="Times New Roman" w:cs="Times New Roman"/>
          <w:sz w:val="24"/>
          <w:szCs w:val="24"/>
          <w:lang w:eastAsia="lt-LT"/>
        </w:rPr>
        <w:t>Telecentro</w:t>
      </w:r>
      <w:r w:rsidR="00AD2242" w:rsidRPr="001857AD">
        <w:rPr>
          <w:rFonts w:ascii="Times New Roman" w:hAnsi="Times New Roman" w:cs="Times New Roman"/>
          <w:sz w:val="24"/>
          <w:szCs w:val="24"/>
          <w:lang w:eastAsia="lt-LT"/>
        </w:rPr>
        <w:t xml:space="preserve"> finansinės atskaitomybės dokumentai, </w:t>
      </w:r>
      <w:r w:rsidRPr="001857AD">
        <w:rPr>
          <w:rFonts w:ascii="Times New Roman" w:hAnsi="Times New Roman" w:cs="Times New Roman"/>
          <w:sz w:val="24"/>
          <w:szCs w:val="24"/>
          <w:lang w:eastAsia="lt-LT"/>
        </w:rPr>
        <w:t>į Reguliavimo apskaitos sistemą pilnumo bei teisingumo patikrinimą</w:t>
      </w:r>
      <w:r w:rsidR="00BF46E9" w:rsidRPr="001857AD">
        <w:rPr>
          <w:rFonts w:ascii="Times New Roman" w:hAnsi="Times New Roman" w:cs="Times New Roman"/>
          <w:sz w:val="24"/>
          <w:szCs w:val="24"/>
          <w:lang w:eastAsia="lt-LT"/>
        </w:rPr>
        <w:t>;</w:t>
      </w:r>
    </w:p>
    <w:p w14:paraId="44B6E868" w14:textId="74491B24" w:rsidR="00371537" w:rsidRPr="001857AD" w:rsidRDefault="00371537" w:rsidP="00371537">
      <w:pPr>
        <w:autoSpaceDN w:val="0"/>
        <w:spacing w:after="0" w:line="240" w:lineRule="auto"/>
        <w:ind w:firstLine="108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2.2.2.2. pirminių finansinių dokumentų, siekiant įsitikinti, ar duomenys teisingai perkelti ir atspindėti Reguliavimo apskaitos sistemos pirminėse sąskaitose, patikrinimą;</w:t>
      </w:r>
    </w:p>
    <w:p w14:paraId="2300E475" w14:textId="69705944" w:rsidR="00371537" w:rsidRPr="001857AD" w:rsidRDefault="00371537"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2.2.2.3. patikrinimą, ar bendri suminiai finansiniai duomenys matematiškai sutampa tarp atskirų metinį ataskaitų rinkinį sudarančių </w:t>
      </w:r>
      <w:r w:rsidR="00D5039F" w:rsidRPr="001857AD">
        <w:rPr>
          <w:rFonts w:ascii="Times New Roman" w:hAnsi="Times New Roman" w:cs="Times New Roman"/>
          <w:sz w:val="24"/>
          <w:szCs w:val="24"/>
          <w:lang w:eastAsia="lt-LT"/>
        </w:rPr>
        <w:t>ataskaitų</w:t>
      </w:r>
      <w:r w:rsidR="00BF46E9" w:rsidRPr="001857AD">
        <w:rPr>
          <w:rFonts w:ascii="Times New Roman" w:hAnsi="Times New Roman" w:cs="Times New Roman"/>
          <w:sz w:val="24"/>
          <w:szCs w:val="24"/>
          <w:lang w:eastAsia="lt-LT"/>
        </w:rPr>
        <w:t>;</w:t>
      </w:r>
    </w:p>
    <w:p w14:paraId="47BA26EE" w14:textId="161D7C51"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2.2.2.4. be kitų procedūrų, vadovaujantis TAS reikalavimais dėl atrankos taikymo atliekant patikrinimą, </w:t>
      </w:r>
      <w:r w:rsidR="00D5039F" w:rsidRPr="001857AD">
        <w:rPr>
          <w:rFonts w:ascii="Times New Roman" w:hAnsi="Times New Roman" w:cs="Times New Roman"/>
          <w:sz w:val="24"/>
          <w:szCs w:val="24"/>
          <w:lang w:eastAsia="lt-LT"/>
        </w:rPr>
        <w:t>vertinimą</w:t>
      </w:r>
      <w:r w:rsidR="00BF46E9" w:rsidRPr="001857AD">
        <w:rPr>
          <w:rFonts w:ascii="Times New Roman" w:hAnsi="Times New Roman" w:cs="Times New Roman"/>
          <w:sz w:val="24"/>
          <w:szCs w:val="24"/>
          <w:lang w:eastAsia="lt-LT"/>
        </w:rPr>
        <w:t>:</w:t>
      </w:r>
    </w:p>
    <w:p w14:paraId="5DDBA94C" w14:textId="22C67016"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2.2.2.4.1. ar Ūkio subjektas ataskaitinio laikotarpio pajamoms, sąnaudoms, turtui ir įsipareigojimams paskirstyti taiko paskirstymo nešiklius, nurodytus Sistemos apraše;</w:t>
      </w:r>
    </w:p>
    <w:p w14:paraId="322EB343" w14:textId="4A2ECD9D"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bookmarkStart w:id="1" w:name="_Hlk203032844"/>
      <w:r w:rsidRPr="001857AD">
        <w:rPr>
          <w:rFonts w:ascii="Times New Roman" w:hAnsi="Times New Roman" w:cs="Times New Roman"/>
          <w:sz w:val="24"/>
          <w:szCs w:val="24"/>
          <w:lang w:eastAsia="lt-LT"/>
        </w:rPr>
        <w:t xml:space="preserve">2.2.2.4.2. </w:t>
      </w:r>
      <w:bookmarkEnd w:id="1"/>
      <w:r w:rsidRPr="001857AD">
        <w:rPr>
          <w:rFonts w:ascii="Times New Roman" w:hAnsi="Times New Roman" w:cs="Times New Roman"/>
          <w:sz w:val="24"/>
          <w:szCs w:val="24"/>
          <w:lang w:eastAsia="lt-LT"/>
        </w:rPr>
        <w:t>ar Ūkio subjekto faktiškai pritaikytos paskirstymo nešiklių vertės nustatytos laikantis Sistemos apraše nurodyto nešiklių sąrašo reikalavimų; papildomai įvertinti ar nešikliai nustatyti vadovaujantis Sąnaudų apskaitos taisyklių 7, 25 punktų ir Apskaitos atskyrimo taisyklių 26 punkto nuostatomis;</w:t>
      </w:r>
    </w:p>
    <w:p w14:paraId="1A6FF290" w14:textId="0436F783"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2.2.2.4.3. matematinį paskirstymo nešiklių pritaikymo teisingumą paskirstant pajamas, sąnaudas, turtą ir (ar) </w:t>
      </w:r>
      <w:r w:rsidR="00D5039F" w:rsidRPr="001857AD">
        <w:rPr>
          <w:rFonts w:ascii="Times New Roman" w:hAnsi="Times New Roman" w:cs="Times New Roman"/>
          <w:sz w:val="24"/>
          <w:szCs w:val="24"/>
          <w:lang w:eastAsia="lt-LT"/>
        </w:rPr>
        <w:t>įsipareigojimus</w:t>
      </w:r>
      <w:r w:rsidR="00BF46E9" w:rsidRPr="001857AD">
        <w:rPr>
          <w:rFonts w:ascii="Times New Roman" w:hAnsi="Times New Roman" w:cs="Times New Roman"/>
          <w:sz w:val="24"/>
          <w:szCs w:val="24"/>
          <w:lang w:eastAsia="lt-LT"/>
        </w:rPr>
        <w:t>;</w:t>
      </w:r>
    </w:p>
    <w:p w14:paraId="7ABEB34B" w14:textId="6D6DFF2D"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2.2.2.4.4. kitus auditui būtinus darbus ir procedūras, reikaling</w:t>
      </w:r>
      <w:r w:rsidR="00BF46E9" w:rsidRPr="001857AD">
        <w:rPr>
          <w:rFonts w:ascii="Times New Roman" w:hAnsi="Times New Roman" w:cs="Times New Roman"/>
          <w:sz w:val="24"/>
          <w:szCs w:val="24"/>
          <w:lang w:eastAsia="lt-LT"/>
        </w:rPr>
        <w:t>a</w:t>
      </w:r>
      <w:r w:rsidRPr="001857AD">
        <w:rPr>
          <w:rFonts w:ascii="Times New Roman" w:hAnsi="Times New Roman" w:cs="Times New Roman"/>
          <w:sz w:val="24"/>
          <w:szCs w:val="24"/>
          <w:lang w:eastAsia="lt-LT"/>
        </w:rPr>
        <w:t>s šios techninės specifikacijos 5</w:t>
      </w:r>
      <w:r w:rsidR="0036174C" w:rsidRPr="001857AD">
        <w:rPr>
          <w:rFonts w:ascii="Times New Roman" w:hAnsi="Times New Roman" w:cs="Times New Roman"/>
          <w:sz w:val="24"/>
          <w:szCs w:val="24"/>
          <w:lang w:eastAsia="lt-LT"/>
        </w:rPr>
        <w:t xml:space="preserve"> punkte nurodytų dokumentų parengimui ir pateikimui</w:t>
      </w:r>
      <w:r w:rsidR="00BF46E9" w:rsidRPr="001857AD">
        <w:rPr>
          <w:rFonts w:ascii="Times New Roman" w:hAnsi="Times New Roman" w:cs="Times New Roman"/>
          <w:sz w:val="24"/>
          <w:szCs w:val="24"/>
          <w:lang w:eastAsia="lt-LT"/>
        </w:rPr>
        <w:t>.</w:t>
      </w:r>
    </w:p>
    <w:p w14:paraId="63D1C736" w14:textId="0C53C631" w:rsidR="0036174C" w:rsidRPr="001857AD" w:rsidRDefault="0036174C" w:rsidP="0036174C">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 be kitų procedūrų, atliekamų vadovaujantis TAS reikalavimais, teikėjas šios techninės specifikacijos 5.2 papunktyje nurodytame dokumente, turi aprašyti audito procedūrų pastebėjimus dėl audito metu nustatytų dalykų, ne mažesne nei šios techninės specifikacijos 2.2.3.1. – 2.2.3.2</w:t>
      </w:r>
      <w:r w:rsidR="00C56288">
        <w:rPr>
          <w:rFonts w:ascii="Times New Roman" w:hAnsi="Times New Roman" w:cs="Times New Roman"/>
          <w:sz w:val="24"/>
          <w:szCs w:val="24"/>
          <w:lang w:eastAsia="lt-LT"/>
        </w:rPr>
        <w:t>1</w:t>
      </w:r>
      <w:r w:rsidRPr="001857AD">
        <w:rPr>
          <w:rFonts w:ascii="Times New Roman" w:hAnsi="Times New Roman" w:cs="Times New Roman"/>
          <w:sz w:val="24"/>
          <w:szCs w:val="24"/>
          <w:lang w:eastAsia="lt-LT"/>
        </w:rPr>
        <w:t xml:space="preserve"> papunkčiuose nurodyta apimtimi:</w:t>
      </w:r>
    </w:p>
    <w:p w14:paraId="49FEF0E7" w14:textId="630528B0" w:rsidR="0036174C" w:rsidRPr="001857AD" w:rsidRDefault="00CC01C1" w:rsidP="0036174C">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w:t>
      </w:r>
      <w:r w:rsidR="0036174C" w:rsidRPr="001857AD">
        <w:rPr>
          <w:rFonts w:ascii="Times New Roman" w:hAnsi="Times New Roman" w:cs="Times New Roman"/>
          <w:sz w:val="24"/>
          <w:szCs w:val="24"/>
          <w:lang w:eastAsia="lt-LT"/>
        </w:rPr>
        <w:t>2.3.1</w:t>
      </w:r>
      <w:r w:rsidRPr="001857AD">
        <w:rPr>
          <w:rFonts w:ascii="Times New Roman" w:hAnsi="Times New Roman" w:cs="Times New Roman"/>
          <w:sz w:val="24"/>
          <w:szCs w:val="24"/>
          <w:lang w:eastAsia="lt-LT"/>
        </w:rPr>
        <w:t>. pateikti:</w:t>
      </w:r>
    </w:p>
    <w:p w14:paraId="32072EDC" w14:textId="33F2E032"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2.2.3.1.1. Ūkio subjekto audituojamu laikotarpiu (202</w:t>
      </w:r>
      <w:r w:rsidR="003C7007">
        <w:rPr>
          <w:rFonts w:ascii="Times New Roman" w:hAnsi="Times New Roman" w:cs="Times New Roman"/>
          <w:sz w:val="24"/>
          <w:szCs w:val="24"/>
          <w:lang w:eastAsia="lt-LT"/>
        </w:rPr>
        <w:t>5</w:t>
      </w:r>
      <w:r w:rsidRPr="001857AD">
        <w:rPr>
          <w:rFonts w:ascii="Times New Roman" w:hAnsi="Times New Roman" w:cs="Times New Roman"/>
          <w:sz w:val="24"/>
          <w:szCs w:val="24"/>
          <w:lang w:eastAsia="lt-LT"/>
        </w:rPr>
        <w:t xml:space="preserve"> m.) naudotos Reguliavimo apskaitos sistemos esminių loginių pasikeitimų (jeigu tokie buvo) vertinimą, lyginant ją su atitinkamai </w:t>
      </w:r>
      <w:r w:rsidR="00954766">
        <w:rPr>
          <w:rFonts w:ascii="Times New Roman" w:hAnsi="Times New Roman" w:cs="Times New Roman"/>
          <w:sz w:val="24"/>
          <w:szCs w:val="24"/>
          <w:lang w:eastAsia="lt-LT"/>
        </w:rPr>
        <w:t>2025</w:t>
      </w:r>
      <w:r w:rsidR="00AE595F">
        <w:rPr>
          <w:rFonts w:ascii="Times New Roman" w:hAnsi="Times New Roman" w:cs="Times New Roman"/>
          <w:sz w:val="24"/>
          <w:szCs w:val="24"/>
          <w:lang w:eastAsia="lt-LT"/>
        </w:rPr>
        <w:t xml:space="preserve"> m.</w:t>
      </w:r>
      <w:r w:rsidR="00954766">
        <w:rPr>
          <w:rFonts w:ascii="Times New Roman" w:hAnsi="Times New Roman" w:cs="Times New Roman"/>
          <w:sz w:val="24"/>
          <w:szCs w:val="24"/>
          <w:lang w:eastAsia="lt-LT"/>
        </w:rPr>
        <w:t xml:space="preserve"> su </w:t>
      </w:r>
      <w:r w:rsidRPr="001857AD">
        <w:rPr>
          <w:rFonts w:ascii="Times New Roman" w:hAnsi="Times New Roman" w:cs="Times New Roman"/>
          <w:sz w:val="24"/>
          <w:szCs w:val="24"/>
          <w:lang w:eastAsia="lt-LT"/>
        </w:rPr>
        <w:t>202</w:t>
      </w:r>
      <w:r w:rsidR="003C7007">
        <w:rPr>
          <w:rFonts w:ascii="Times New Roman" w:hAnsi="Times New Roman" w:cs="Times New Roman"/>
          <w:sz w:val="24"/>
          <w:szCs w:val="24"/>
          <w:lang w:eastAsia="lt-LT"/>
        </w:rPr>
        <w:t>4</w:t>
      </w:r>
      <w:r w:rsidR="00D5039F" w:rsidRPr="001857AD">
        <w:rPr>
          <w:rFonts w:ascii="Times New Roman" w:hAnsi="Times New Roman" w:cs="Times New Roman"/>
          <w:sz w:val="24"/>
          <w:szCs w:val="24"/>
          <w:lang w:eastAsia="lt-LT"/>
        </w:rPr>
        <w:t xml:space="preserve"> m.</w:t>
      </w:r>
      <w:r w:rsidR="00954766">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naudota Reguliavimo apskaitos sistema, bei šių pakeitimų įtaką visų paslaugų (tiek Lietuvos nacionalinio radijo ir televizijos radijo ir televizijos programų signalų elektroninių ryšių tinklais perdavimo visuomenei paslaugų ir paslaugų, kurių reikia Lietuvos nacionalinio radijo ir televizijos radijo ir televizijos tinklams teikti ir eksploatuoti, (toliau kartu – prižiūrimos paslaugos), tiek kitų Ūkio subjekto paslaugų) sąnaudų struktūrai aprašymą;</w:t>
      </w:r>
    </w:p>
    <w:p w14:paraId="249CDBF5" w14:textId="2CD28FB9"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2.2.3.1.2. pajamų, sąnaudų, turto ir įsipareigojimų pokyčių, didesnių nei 15 proc. </w:t>
      </w:r>
      <w:r w:rsidR="000A2259" w:rsidRPr="001857AD">
        <w:rPr>
          <w:rFonts w:ascii="Times New Roman" w:hAnsi="Times New Roman" w:cs="Times New Roman"/>
          <w:sz w:val="24"/>
          <w:szCs w:val="24"/>
          <w:lang w:eastAsia="lt-LT"/>
        </w:rPr>
        <w:t>ir</w:t>
      </w:r>
      <w:r w:rsidR="00D5039F" w:rsidRPr="001857AD">
        <w:rPr>
          <w:rFonts w:ascii="Times New Roman" w:hAnsi="Times New Roman" w:cs="Times New Roman"/>
          <w:sz w:val="24"/>
          <w:szCs w:val="24"/>
          <w:lang w:eastAsia="lt-LT"/>
        </w:rPr>
        <w:t xml:space="preserve"> absoliutine verte </w:t>
      </w:r>
      <w:r w:rsidR="00A5467B" w:rsidRPr="001857AD">
        <w:rPr>
          <w:rFonts w:ascii="Times New Roman" w:hAnsi="Times New Roman" w:cs="Times New Roman"/>
          <w:sz w:val="24"/>
          <w:szCs w:val="24"/>
          <w:lang w:eastAsia="lt-LT"/>
        </w:rPr>
        <w:t>didesnių</w:t>
      </w:r>
      <w:r w:rsidR="000A2259" w:rsidRPr="001857AD">
        <w:rPr>
          <w:rFonts w:ascii="Times New Roman" w:hAnsi="Times New Roman" w:cs="Times New Roman"/>
          <w:sz w:val="24"/>
          <w:szCs w:val="24"/>
          <w:lang w:eastAsia="lt-LT"/>
        </w:rPr>
        <w:t xml:space="preserve"> </w:t>
      </w:r>
      <w:r w:rsidR="00041A04" w:rsidRPr="001857AD">
        <w:rPr>
          <w:rFonts w:ascii="Times New Roman" w:hAnsi="Times New Roman" w:cs="Times New Roman"/>
          <w:sz w:val="24"/>
          <w:szCs w:val="24"/>
          <w:lang w:eastAsia="lt-LT"/>
        </w:rPr>
        <w:t>kaip</w:t>
      </w:r>
      <w:r w:rsidR="00D5039F" w:rsidRPr="001857AD">
        <w:rPr>
          <w:rFonts w:ascii="Times New Roman" w:hAnsi="Times New Roman" w:cs="Times New Roman"/>
          <w:sz w:val="24"/>
          <w:szCs w:val="24"/>
          <w:lang w:eastAsia="lt-LT"/>
        </w:rPr>
        <w:t xml:space="preserve"> 1000 Eur</w:t>
      </w:r>
      <w:r w:rsidR="00D5039F" w:rsidRPr="001857AD">
        <w:rPr>
          <w:rFonts w:ascii="Times New Roman" w:hAnsi="Times New Roman" w:cs="Times New Roman"/>
          <w:color w:val="EE0000"/>
          <w:sz w:val="24"/>
          <w:szCs w:val="24"/>
          <w:lang w:eastAsia="lt-LT"/>
        </w:rPr>
        <w:t xml:space="preserve"> </w:t>
      </w:r>
      <w:r w:rsidRPr="001857AD">
        <w:rPr>
          <w:rFonts w:ascii="Times New Roman" w:hAnsi="Times New Roman" w:cs="Times New Roman"/>
          <w:sz w:val="24"/>
          <w:szCs w:val="24"/>
          <w:lang w:eastAsia="lt-LT"/>
        </w:rPr>
        <w:t>lyginant 202</w:t>
      </w:r>
      <w:r w:rsidR="00580183">
        <w:rPr>
          <w:rFonts w:ascii="Times New Roman" w:hAnsi="Times New Roman" w:cs="Times New Roman"/>
          <w:sz w:val="24"/>
          <w:szCs w:val="24"/>
          <w:lang w:eastAsia="lt-LT"/>
        </w:rPr>
        <w:t>5</w:t>
      </w:r>
      <w:r w:rsidRPr="001857AD">
        <w:rPr>
          <w:rFonts w:ascii="Times New Roman" w:hAnsi="Times New Roman" w:cs="Times New Roman"/>
          <w:sz w:val="24"/>
          <w:szCs w:val="24"/>
          <w:lang w:eastAsia="lt-LT"/>
        </w:rPr>
        <w:t xml:space="preserve"> m. </w:t>
      </w:r>
      <w:r w:rsidR="00403553" w:rsidRPr="001857AD">
        <w:rPr>
          <w:rFonts w:ascii="Times New Roman" w:hAnsi="Times New Roman" w:cs="Times New Roman"/>
          <w:sz w:val="24"/>
          <w:szCs w:val="24"/>
          <w:lang w:eastAsia="lt-LT"/>
        </w:rPr>
        <w:t>su</w:t>
      </w:r>
      <w:r w:rsidRPr="001857AD">
        <w:rPr>
          <w:rFonts w:ascii="Times New Roman" w:hAnsi="Times New Roman" w:cs="Times New Roman"/>
          <w:sz w:val="24"/>
          <w:szCs w:val="24"/>
          <w:lang w:eastAsia="lt-LT"/>
        </w:rPr>
        <w:t xml:space="preserve"> 202</w:t>
      </w:r>
      <w:r w:rsidR="00580183">
        <w:rPr>
          <w:rFonts w:ascii="Times New Roman" w:hAnsi="Times New Roman" w:cs="Times New Roman"/>
          <w:sz w:val="24"/>
          <w:szCs w:val="24"/>
          <w:lang w:eastAsia="lt-LT"/>
        </w:rPr>
        <w:t>4</w:t>
      </w:r>
      <w:r w:rsidRPr="001857AD">
        <w:rPr>
          <w:rFonts w:ascii="Times New Roman" w:hAnsi="Times New Roman" w:cs="Times New Roman"/>
          <w:sz w:val="24"/>
          <w:szCs w:val="24"/>
          <w:lang w:eastAsia="lt-LT"/>
        </w:rPr>
        <w:t xml:space="preserve"> m.</w:t>
      </w:r>
      <w:r w:rsidR="00AE595F">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didžiosios knygos sąskaitose apskaitytų pajamų, sąnaudų, turto ir įsipareigojimų sumas</w:t>
      </w:r>
      <w:r w:rsidR="00242442" w:rsidRPr="001857AD">
        <w:rPr>
          <w:rFonts w:ascii="Times New Roman" w:hAnsi="Times New Roman" w:cs="Times New Roman"/>
          <w:sz w:val="24"/>
          <w:szCs w:val="24"/>
          <w:lang w:eastAsia="lt-LT"/>
        </w:rPr>
        <w:t xml:space="preserve"> ir </w:t>
      </w:r>
      <w:r w:rsidR="005B09D5" w:rsidRPr="001857AD">
        <w:rPr>
          <w:rFonts w:ascii="Times New Roman" w:hAnsi="Times New Roman" w:cs="Times New Roman"/>
          <w:sz w:val="24"/>
          <w:szCs w:val="24"/>
          <w:lang w:eastAsia="lt-LT"/>
        </w:rPr>
        <w:t>tų pokyčių</w:t>
      </w:r>
      <w:r w:rsidR="00F76249" w:rsidRPr="001857AD">
        <w:rPr>
          <w:rFonts w:ascii="Times New Roman" w:hAnsi="Times New Roman" w:cs="Times New Roman"/>
          <w:sz w:val="24"/>
          <w:szCs w:val="24"/>
          <w:lang w:eastAsia="lt-LT"/>
        </w:rPr>
        <w:t xml:space="preserve"> priežasčių analizę.</w:t>
      </w:r>
    </w:p>
    <w:p w14:paraId="47DBA4DC" w14:textId="7D54311C"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2.2.3.2. ar Ūkio subjekto Sistemos aprašas atitinka Reguliavimo apskaitos taisyklių reikalavimus bei yra faktiškai įgyvendintas taikant Reguliavimo apskaitos </w:t>
      </w:r>
      <w:r w:rsidR="00D5039F" w:rsidRPr="001857AD">
        <w:rPr>
          <w:rFonts w:ascii="Times New Roman" w:hAnsi="Times New Roman" w:cs="Times New Roman"/>
          <w:sz w:val="24"/>
          <w:szCs w:val="24"/>
          <w:lang w:eastAsia="lt-LT"/>
        </w:rPr>
        <w:t>sistemą</w:t>
      </w:r>
      <w:r w:rsidR="00C84008" w:rsidRPr="001857AD">
        <w:rPr>
          <w:rFonts w:ascii="Times New Roman" w:hAnsi="Times New Roman" w:cs="Times New Roman"/>
          <w:sz w:val="24"/>
          <w:szCs w:val="24"/>
          <w:lang w:eastAsia="lt-LT"/>
        </w:rPr>
        <w:t>;</w:t>
      </w:r>
    </w:p>
    <w:p w14:paraId="48F541CA" w14:textId="2B31B31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2.2.3.3. ar Ūkio subjekto suteiktų paslaugų statistika išsami ir teisinga, t. y. ar į Reguliavimo apskaitos sistemą buvo įtrauktos visos paslaugos (nepaisant to, ar jos yra teikiamos atlygintinai ar ne), kurias Ūkio subjektas suteikė ataskaitiniu laikotarpiu, ir ar tų paslaugų kiekiai yra nurodyti teisingai; ar paslaugų kiekiams nustatyti yra taikomos vidaus kontrolės procedūros;</w:t>
      </w:r>
    </w:p>
    <w:p w14:paraId="7CAE1B7A" w14:textId="6E9DA4ED"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2.2.3.4. ar Ūkio subjekto protingumo kriterijų atitinkančios investicijų grąžos apskaičiavimas bei perkėlimas į Reguliavimo apskaitos sistemą teisingas bei pagrįstas; esant nesutapimams su Sąnaudų apskaitos taisyklėse nurodytos protingumo kriterijų atitinkančios investicijų grąžos apskaičiavimui naudojama formule ar šioms taisyklėms prieštaraujantį vidutinės svertinės kapitalo kainos (angl. Weighted Average Cost of Capital, WACC) skaičiavimo principų bei parametrų pasirinkimą, atlikti perskaičiavimą (-us) pagal Sąnaudų apskaitos taisyklių reikalavimus bei pateikti tokių nesutapimų vertinimą ir įtaką sąnaudoms, įvertinant atskirai beta koeficiento apskaičiavimo teisingumą; esant didesniam nei 5 proc. sąnaudų netikslumui, perskaičiuoti investicijų grąžos įtaką galutinių paslaugų sąnaudoms; patikrinti, ar kiekviename sąnaudų paskirstymo etape bei ataskaitose atskirai ir teisingai išskiriamos protingumo kriterijų atitinkančios investicijų grąžos sąnaudos;</w:t>
      </w:r>
    </w:p>
    <w:p w14:paraId="3E6117D3"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2.2.3.5. ar tinkamai suformuoti sąnaudų kaupimo objektai:</w:t>
      </w:r>
    </w:p>
    <w:p w14:paraId="0F5D0BEC" w14:textId="2C6966D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2.2.3.5.1. ar sąnaudų kaupimo objektai (vidinės veiklos, modeliuojamos paslaugos ir pan.) atspindi Ūkio subjekto veiklos specifiką ir yra parinkti tinkamai (vertinant atskirai kiekvieną sąnaudų paskirstymo etapą);</w:t>
      </w:r>
    </w:p>
    <w:p w14:paraId="4E7FC91D" w14:textId="1A575842"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2.2.3.5.2. parenkant Ūkio subjekto naudojamos sąnaudų apskaitos sistemos sąnaudų elementus, metodus, sąnaudų nešiklius sąnaudų skirstymui iš didžiosios knygos į tarpinius sąnaudų kaupimo objektus ir iš pastarųjų galutinėms paslaugoms, nustatant sąnaudų nešiklių koeficientus, jų reikšmes; įvertinti, ar sąnaudų nešikliai nėra keičiami sąnaudų skirstymo </w:t>
      </w:r>
      <w:r w:rsidR="00D5039F" w:rsidRPr="001857AD">
        <w:rPr>
          <w:rFonts w:ascii="Times New Roman" w:hAnsi="Times New Roman" w:cs="Times New Roman"/>
          <w:sz w:val="24"/>
          <w:szCs w:val="24"/>
          <w:lang w:eastAsia="lt-LT"/>
        </w:rPr>
        <w:t>etapuose.</w:t>
      </w:r>
    </w:p>
    <w:p w14:paraId="71D8C901" w14:textId="7C25B9F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2.2.3.6. ar buvo vadovautasi Sąnaudų apskaitos taisyklių 7 punkte nurodytais priežastingumo, kaupimo, objektyvumo, pastovumo, skaidrumo, naudingumo bei patikimumo principais:</w:t>
      </w:r>
    </w:p>
    <w:p w14:paraId="4905ACF9" w14:textId="21ECFD94"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2.2.3.6.1. renkant duomenis ir informaciją, reikalingą sąnaudų nešikliams ir jų koeficientams </w:t>
      </w:r>
      <w:r w:rsidR="00D5039F" w:rsidRPr="001857AD">
        <w:rPr>
          <w:rFonts w:ascii="Times New Roman" w:hAnsi="Times New Roman" w:cs="Times New Roman"/>
          <w:sz w:val="24"/>
          <w:szCs w:val="24"/>
          <w:lang w:eastAsia="lt-LT"/>
        </w:rPr>
        <w:t>nustatyti</w:t>
      </w:r>
      <w:r w:rsidR="004315FB" w:rsidRPr="001857AD">
        <w:rPr>
          <w:rFonts w:ascii="Times New Roman" w:hAnsi="Times New Roman" w:cs="Times New Roman"/>
          <w:sz w:val="24"/>
          <w:szCs w:val="24"/>
          <w:lang w:eastAsia="lt-LT"/>
        </w:rPr>
        <w:t>;</w:t>
      </w:r>
    </w:p>
    <w:p w14:paraId="4AA104E4" w14:textId="1BC8DAB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2.2.3.6.2. nustatant nekilnojamo turto nusidėvėjimo ir darbo laiko sąnaudų nešiklius bei jų koeficientus, skirstant šių grupių sąnaudas visuose sąnaudų skirstymo </w:t>
      </w:r>
      <w:r w:rsidR="00D5039F" w:rsidRPr="001857AD">
        <w:rPr>
          <w:rFonts w:ascii="Times New Roman" w:hAnsi="Times New Roman" w:cs="Times New Roman"/>
          <w:sz w:val="24"/>
          <w:szCs w:val="24"/>
          <w:lang w:eastAsia="lt-LT"/>
        </w:rPr>
        <w:t>etapuose</w:t>
      </w:r>
      <w:r w:rsidR="004315FB" w:rsidRPr="001857AD">
        <w:rPr>
          <w:rFonts w:ascii="Times New Roman" w:hAnsi="Times New Roman" w:cs="Times New Roman"/>
          <w:sz w:val="24"/>
          <w:szCs w:val="24"/>
          <w:lang w:eastAsia="lt-LT"/>
        </w:rPr>
        <w:t>;</w:t>
      </w:r>
    </w:p>
    <w:p w14:paraId="1396458E" w14:textId="3E865FB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2.2.3.6.3. tarpiniuose sąnaudų paskirstymo etapuose priskiriant tam tikrą netiesioginių sąnaudų sumą pagrindinei vidaus veiklai (procesui), pagalbinei vidaus veiklai (procesui), tinklo vidaus veiklai (procesui) ar vidaus paslaugai (produktui), siekiant priskirti netiesiogines sąnaudas galutinėms paslaugoms (produktams) ar jų grupėms, kurios netiesiogiai bendrai lėmė tų sąnaudų atsiradimą (susiformavimą</w:t>
      </w:r>
      <w:r w:rsidR="0043098C" w:rsidRPr="001857AD">
        <w:rPr>
          <w:rFonts w:ascii="Times New Roman" w:hAnsi="Times New Roman" w:cs="Times New Roman"/>
          <w:sz w:val="24"/>
          <w:szCs w:val="24"/>
          <w:lang w:eastAsia="lt-LT"/>
        </w:rPr>
        <w:t>).</w:t>
      </w:r>
    </w:p>
    <w:p w14:paraId="4EB07252" w14:textId="037BE1BF"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2.2.3.7. ar nepaskirstomų sąnaudų kategorijos sąnaudos nėra priskiriamos prižiūrimoms </w:t>
      </w:r>
      <w:r w:rsidR="0043098C" w:rsidRPr="001857AD">
        <w:rPr>
          <w:rFonts w:ascii="Times New Roman" w:hAnsi="Times New Roman" w:cs="Times New Roman"/>
          <w:sz w:val="24"/>
          <w:szCs w:val="24"/>
          <w:lang w:eastAsia="lt-LT"/>
        </w:rPr>
        <w:t>paslaugoms</w:t>
      </w:r>
      <w:r w:rsidR="000E53F4" w:rsidRPr="001857AD">
        <w:rPr>
          <w:rFonts w:ascii="Times New Roman" w:hAnsi="Times New Roman" w:cs="Times New Roman"/>
          <w:sz w:val="24"/>
          <w:szCs w:val="24"/>
          <w:lang w:eastAsia="lt-LT"/>
        </w:rPr>
        <w:t>;</w:t>
      </w:r>
    </w:p>
    <w:p w14:paraId="494BC9BD" w14:textId="42901D80"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2.2.3.8. ar Ūkio subjektas bendrąsias sąnaudas paskirstė paslaugoms laikydamasis Sąnaudų apskaitos taisyklių 33 punkto </w:t>
      </w:r>
      <w:r w:rsidR="0043098C" w:rsidRPr="001857AD">
        <w:rPr>
          <w:rFonts w:ascii="Times New Roman" w:hAnsi="Times New Roman" w:cs="Times New Roman"/>
          <w:sz w:val="24"/>
          <w:szCs w:val="24"/>
          <w:lang w:eastAsia="lt-LT"/>
        </w:rPr>
        <w:t>nuostatų</w:t>
      </w:r>
      <w:r w:rsidR="000E53F4" w:rsidRPr="001857AD">
        <w:rPr>
          <w:rFonts w:ascii="Times New Roman" w:hAnsi="Times New Roman" w:cs="Times New Roman"/>
          <w:sz w:val="24"/>
          <w:szCs w:val="24"/>
          <w:lang w:eastAsia="lt-LT"/>
        </w:rPr>
        <w:t>;</w:t>
      </w:r>
    </w:p>
    <w:p w14:paraId="2AE585C3" w14:textId="2DC88B6C"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2.2.3.9. ar Ūkio subjektas vadovavosi Apskaitos atskyrimo taisyklių 36 punktu, pateikdamas metinį ataskaitų rinkinį, ir ar jos apimtis yra pakankama, kad įvertinti, kad Ūkio subjekto naudojama apskaitos atskyrimo sistema atitinka Apskaitos atskyrimo taisyklių reikalavimus, ir ar pateiktos informacijos pakanka priimti RRT priežiūros sprendimus pagal Reguliavimo taisykles ir Lietuvos nacionalinio radijo ir televizijos radijo ir televizijos programų signalų elektroninių ryšių tinklais perdavimo visuomenei paslaugų ir paslaugų, kurių reikia Lietuvos nacionalinio radijo ir televizijos radijo ir televizijos tinklams teikti ir eksploatuoti, teikimo ir kompensavimo už šių paslaugų teikimą tvarkos ir sąlygų aprašo, patvirtinto Lietuvos Respublikos Vyriausybės 2015 m. liepos 1 d. nutarimu Nr. 686 „Dėl Lietuvos nacionalinio radijo ir televizijos radijo ir televizijos programų signalų elektroninių ryšių tinklais perdavimo visuomenei paslaugų ir paslaugų, kurių reikia Lietuvos nacionalinio radijo ir televizijos radijo ir televizijos tinklams teikti ir eksploatuoti, teikimo ir kompensavimo už šių paslaugų teikimą tvarkos ir sąlygų aprašo </w:t>
      </w:r>
      <w:r w:rsidR="0043098C" w:rsidRPr="001857AD">
        <w:rPr>
          <w:rFonts w:ascii="Times New Roman" w:hAnsi="Times New Roman" w:cs="Times New Roman"/>
          <w:sz w:val="24"/>
          <w:szCs w:val="24"/>
          <w:lang w:eastAsia="lt-LT"/>
        </w:rPr>
        <w:t>patvirtinimo “</w:t>
      </w:r>
      <w:r w:rsidRPr="001857AD">
        <w:rPr>
          <w:rFonts w:ascii="Times New Roman" w:hAnsi="Times New Roman" w:cs="Times New Roman"/>
          <w:sz w:val="24"/>
          <w:szCs w:val="24"/>
          <w:lang w:eastAsia="lt-LT"/>
        </w:rPr>
        <w:t xml:space="preserve">, 9–13 punktų </w:t>
      </w:r>
      <w:r w:rsidR="0043098C" w:rsidRPr="001857AD">
        <w:rPr>
          <w:rFonts w:ascii="Times New Roman" w:hAnsi="Times New Roman" w:cs="Times New Roman"/>
          <w:sz w:val="24"/>
          <w:szCs w:val="24"/>
          <w:lang w:eastAsia="lt-LT"/>
        </w:rPr>
        <w:t>nuostatas</w:t>
      </w:r>
      <w:r w:rsidR="000E53F4" w:rsidRPr="001857AD">
        <w:rPr>
          <w:rFonts w:ascii="Times New Roman" w:hAnsi="Times New Roman" w:cs="Times New Roman"/>
          <w:sz w:val="24"/>
          <w:szCs w:val="24"/>
          <w:lang w:eastAsia="lt-LT"/>
        </w:rPr>
        <w:t>;</w:t>
      </w:r>
    </w:p>
    <w:p w14:paraId="137C47A8" w14:textId="01997280"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2.2.3.10. ar Ūkio subjektas savo pajamas, sąnaudas, turtą bei įsipareigojimus paskirstė verslo vienetams vadovaudamasis Apskaitos atskyrimo taisyklių 12 </w:t>
      </w:r>
      <w:r w:rsidR="0043098C" w:rsidRPr="001857AD">
        <w:rPr>
          <w:rFonts w:ascii="Times New Roman" w:hAnsi="Times New Roman" w:cs="Times New Roman"/>
          <w:sz w:val="24"/>
          <w:szCs w:val="24"/>
          <w:lang w:eastAsia="lt-LT"/>
        </w:rPr>
        <w:t>punktu</w:t>
      </w:r>
      <w:r w:rsidR="000E53F4" w:rsidRPr="001857AD">
        <w:rPr>
          <w:rFonts w:ascii="Times New Roman" w:hAnsi="Times New Roman" w:cs="Times New Roman"/>
          <w:sz w:val="24"/>
          <w:szCs w:val="24"/>
          <w:lang w:eastAsia="lt-LT"/>
        </w:rPr>
        <w:t>;</w:t>
      </w:r>
    </w:p>
    <w:p w14:paraId="1BC59B8D" w14:textId="76CA37D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2.2.3.11. ar Ūkio subjektas ataskaitinio laikotarpio sąnaudas paskirstė verslo vienetams ir juos sudarančioms paslaugoms (produktams) vadovaudamasis Apskaitos atskyrimo taisyklių 17 </w:t>
      </w:r>
      <w:r w:rsidR="0043098C" w:rsidRPr="001857AD">
        <w:rPr>
          <w:rFonts w:ascii="Times New Roman" w:hAnsi="Times New Roman" w:cs="Times New Roman"/>
          <w:sz w:val="24"/>
          <w:szCs w:val="24"/>
          <w:lang w:eastAsia="lt-LT"/>
        </w:rPr>
        <w:t>punktu</w:t>
      </w:r>
      <w:r w:rsidR="000E53F4" w:rsidRPr="001857AD">
        <w:rPr>
          <w:rFonts w:ascii="Times New Roman" w:hAnsi="Times New Roman" w:cs="Times New Roman"/>
          <w:sz w:val="24"/>
          <w:szCs w:val="24"/>
          <w:lang w:eastAsia="lt-LT"/>
        </w:rPr>
        <w:t>;</w:t>
      </w:r>
    </w:p>
    <w:p w14:paraId="1AC59554" w14:textId="46CC4A48"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 xml:space="preserve">2.2.3.12. ar Ūkio subjektas ataskaitinio laikotarpio pajamas paskirstė pagal Apskaitos atskyrimo taisyklių 18 punkto nuostatas, t. y. ar pajamos, paskirstytos tiesiogiai paslaugoms (produktams), sudarančioms verslo vienetus, arba, jeigu pajamų negalima tiesiogiai paskirstyti, įvertinti, ar pajamos paslaugoms (produktams) paskirstytos tinkamai, naudojant atitinkamus pajamų nešiklius bei laikantis Apskaitos atskyrimo taisyklių 8 punkte nurodytų </w:t>
      </w:r>
      <w:r w:rsidR="0043098C" w:rsidRPr="001857AD">
        <w:rPr>
          <w:rFonts w:ascii="Times New Roman" w:hAnsi="Times New Roman" w:cs="Times New Roman"/>
          <w:sz w:val="24"/>
          <w:szCs w:val="24"/>
          <w:lang w:eastAsia="lt-LT"/>
        </w:rPr>
        <w:t>principų</w:t>
      </w:r>
      <w:r w:rsidR="000E53F4" w:rsidRPr="001857AD">
        <w:rPr>
          <w:rFonts w:ascii="Times New Roman" w:hAnsi="Times New Roman" w:cs="Times New Roman"/>
          <w:sz w:val="24"/>
          <w:szCs w:val="24"/>
          <w:lang w:eastAsia="lt-LT"/>
        </w:rPr>
        <w:t>;</w:t>
      </w:r>
    </w:p>
    <w:p w14:paraId="020D57BA" w14:textId="64070719"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2.2.3.13. ar Ūkio subjektas vidinius transferus išskiria vadovaudamasis Apskaitos atskyrimo taisyklių 27–29 punktų nuostatomis ir ar nustatyti vidinių transferų dydžiai yra skaičiuojami nuosekliais etapais pagal Apskaitos atskyrimo taisyklių 31 punkto nuostatas;</w:t>
      </w:r>
    </w:p>
    <w:p w14:paraId="25480C2C" w14:textId="018B6D4E"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2.2.3.14. ar Ūkio subjektas ilgalaikio turto vertę verslo vienetams paskirstė vadovaudamasis Apskaitos atskyrimo taisyklių 23 punkto nuostatomis, trumpalaikį turtą paskirstė vadovaudamasis Apskaitos atskyrimo taisyklių 24 punkto nuostatomis, o trumpalaikius įsipareigojimus paskirstė vadovaudamasis Apskaitos atskyrimo taisyklių 25 punkto nuostatomis, ar ilgalaikio turto, trumpalaikio turto ir trumpalaikių įsipareigojimų paskirstymo galutinėms paslaugoms ataskaitos sudarytos pagal Apskaitos atskyrimo taisyklių 26</w:t>
      </w:r>
      <w:r w:rsidRPr="001857AD">
        <w:rPr>
          <w:rFonts w:ascii="Times New Roman" w:hAnsi="Times New Roman" w:cs="Times New Roman"/>
          <w:sz w:val="24"/>
          <w:szCs w:val="24"/>
          <w:vertAlign w:val="superscript"/>
          <w:lang w:eastAsia="lt-LT"/>
        </w:rPr>
        <w:t>2</w:t>
      </w:r>
      <w:r w:rsidRPr="001857AD">
        <w:rPr>
          <w:rFonts w:ascii="Times New Roman" w:hAnsi="Times New Roman" w:cs="Times New Roman"/>
          <w:sz w:val="24"/>
          <w:szCs w:val="24"/>
          <w:lang w:eastAsia="lt-LT"/>
        </w:rPr>
        <w:t xml:space="preserve"> punkto nuostatas;</w:t>
      </w:r>
    </w:p>
    <w:p w14:paraId="39C41F20" w14:textId="264A8D3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2.2.3.15. vidaus veiklų ir technologinių procesų peržiūras pagal Sąnaudų apskaitos taisyklių 32 punkto reikalavimus; pateikti tokių peržiūrų pavyzdžius ir (ar) </w:t>
      </w:r>
      <w:r w:rsidR="0043098C" w:rsidRPr="001857AD">
        <w:rPr>
          <w:rFonts w:ascii="Times New Roman" w:hAnsi="Times New Roman" w:cs="Times New Roman"/>
          <w:sz w:val="24"/>
          <w:szCs w:val="24"/>
          <w:lang w:eastAsia="lt-LT"/>
        </w:rPr>
        <w:t>aprašymus</w:t>
      </w:r>
      <w:r w:rsidR="000E53F4" w:rsidRPr="001857AD">
        <w:rPr>
          <w:rFonts w:ascii="Times New Roman" w:hAnsi="Times New Roman" w:cs="Times New Roman"/>
          <w:sz w:val="24"/>
          <w:szCs w:val="24"/>
          <w:lang w:eastAsia="lt-LT"/>
        </w:rPr>
        <w:t>;</w:t>
      </w:r>
    </w:p>
    <w:p w14:paraId="5407C45F" w14:textId="15174CE5"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2.2.3.16. Ūkio subjekto naudojamo ilgalaikio ir trumpalaikio turto padidėjimo (jeigu toks buvo) priežasčių, lyginant su ankstesniu audituojamu laikotarpiu, </w:t>
      </w:r>
      <w:r w:rsidR="0043098C" w:rsidRPr="001857AD">
        <w:rPr>
          <w:rFonts w:ascii="Times New Roman" w:hAnsi="Times New Roman" w:cs="Times New Roman"/>
          <w:sz w:val="24"/>
          <w:szCs w:val="24"/>
          <w:lang w:eastAsia="lt-LT"/>
        </w:rPr>
        <w:t>analizę</w:t>
      </w:r>
      <w:r w:rsidR="000E53F4" w:rsidRPr="001857AD">
        <w:rPr>
          <w:rFonts w:ascii="Times New Roman" w:hAnsi="Times New Roman" w:cs="Times New Roman"/>
          <w:sz w:val="24"/>
          <w:szCs w:val="24"/>
          <w:lang w:eastAsia="lt-LT"/>
        </w:rPr>
        <w:t>;</w:t>
      </w:r>
    </w:p>
    <w:p w14:paraId="361F2CB4" w14:textId="39EDBA98"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2.2.3.17. ar Ūkio subjekto suformuota apskaitos atskyrimo sistema atitinka tinkamumo, patikimumo, palyginamumo ir reikšmingumo kriterijus, nurodytus Apskaitos atskyrimo taisyklių 36 </w:t>
      </w:r>
      <w:r w:rsidR="0043098C" w:rsidRPr="001857AD">
        <w:rPr>
          <w:rFonts w:ascii="Times New Roman" w:hAnsi="Times New Roman" w:cs="Times New Roman"/>
          <w:sz w:val="24"/>
          <w:szCs w:val="24"/>
          <w:lang w:eastAsia="lt-LT"/>
        </w:rPr>
        <w:t>punkte</w:t>
      </w:r>
      <w:r w:rsidR="000E53F4" w:rsidRPr="001857AD">
        <w:rPr>
          <w:rFonts w:ascii="Times New Roman" w:hAnsi="Times New Roman" w:cs="Times New Roman"/>
          <w:sz w:val="24"/>
          <w:szCs w:val="24"/>
          <w:lang w:eastAsia="lt-LT"/>
        </w:rPr>
        <w:t>;</w:t>
      </w:r>
    </w:p>
    <w:p w14:paraId="3847D6EF" w14:textId="701C250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2.2.3.18. ar yra abejotinų skolų bei gautinų sumų įtaka Ūkio subjekto sąnaudoms bei prižiūrimų paslaugų </w:t>
      </w:r>
      <w:r w:rsidR="0043098C" w:rsidRPr="001857AD">
        <w:rPr>
          <w:rFonts w:ascii="Times New Roman" w:hAnsi="Times New Roman" w:cs="Times New Roman"/>
          <w:sz w:val="24"/>
          <w:szCs w:val="24"/>
          <w:lang w:eastAsia="lt-LT"/>
        </w:rPr>
        <w:t>sąnaudoms</w:t>
      </w:r>
      <w:r w:rsidR="000C43E2" w:rsidRPr="001857AD">
        <w:rPr>
          <w:rFonts w:ascii="Times New Roman" w:hAnsi="Times New Roman" w:cs="Times New Roman"/>
          <w:sz w:val="24"/>
          <w:szCs w:val="24"/>
          <w:lang w:eastAsia="lt-LT"/>
        </w:rPr>
        <w:t>;</w:t>
      </w:r>
    </w:p>
    <w:p w14:paraId="163996E3" w14:textId="02C6104F"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2.2.3.19. ar buvo Ūkio subjekto ilgalaikio turto naudingo tarnavimo laikotarpių pakeitimų; jei tokie buvo įvykdyti, atlikti Ūkio subjekto naudojamo ilgalaikio turto nusidėvėjimo perskaičiavimą, įvertinant galimą sąnaudų sudubliavimą, jei turtas jau buvo nudėvėtas ankstesniais metais, sąnaudų perskaičiavimo teisinį atitikimą TAS bei įtaką reguliuojamų paslaugų </w:t>
      </w:r>
      <w:r w:rsidR="0043098C" w:rsidRPr="001857AD">
        <w:rPr>
          <w:rFonts w:ascii="Times New Roman" w:hAnsi="Times New Roman" w:cs="Times New Roman"/>
          <w:sz w:val="24"/>
          <w:szCs w:val="24"/>
          <w:lang w:eastAsia="lt-LT"/>
        </w:rPr>
        <w:t>sąnaudoms</w:t>
      </w:r>
      <w:r w:rsidR="000C43E2" w:rsidRPr="001857AD">
        <w:rPr>
          <w:rFonts w:ascii="Times New Roman" w:hAnsi="Times New Roman" w:cs="Times New Roman"/>
          <w:sz w:val="24"/>
          <w:szCs w:val="24"/>
          <w:lang w:eastAsia="lt-LT"/>
        </w:rPr>
        <w:t>;</w:t>
      </w:r>
    </w:p>
    <w:p w14:paraId="52AFC871" w14:textId="7C37C8BC" w:rsidR="00CC01C1"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2.2.3.20. </w:t>
      </w:r>
      <w:r w:rsidR="00AE01A1" w:rsidRPr="00AE01A1">
        <w:rPr>
          <w:rFonts w:ascii="Times New Roman" w:hAnsi="Times New Roman" w:cs="Times New Roman"/>
          <w:sz w:val="24"/>
          <w:szCs w:val="24"/>
          <w:lang w:eastAsia="lt-LT"/>
        </w:rPr>
        <w:t>ar Ūkio subjektas atsižvelgė į praėjusio ataskaitinio laikotarpio audito paslaugų teikimo metu nustatytus neatitikimus ir (ar) įgyvendino pateiktas rekomendacijas; išsamiai įvertinti nustatytų neatitikimų ir (ar) neatsižvelgimų (jeigu tokie buvo nustatyti) įtaką.</w:t>
      </w:r>
    </w:p>
    <w:p w14:paraId="156DAAC3" w14:textId="0ABAF43B" w:rsidR="008F34E6" w:rsidRPr="001857AD" w:rsidRDefault="00EE3AA2" w:rsidP="70E841AB">
      <w:pPr>
        <w:autoSpaceDN w:val="0"/>
        <w:spacing w:after="0" w:line="240" w:lineRule="auto"/>
        <w:ind w:firstLine="851"/>
        <w:contextualSpacing/>
        <w:rPr>
          <w:rFonts w:ascii="Times New Roman" w:hAnsi="Times New Roman" w:cs="Times New Roman"/>
          <w:sz w:val="24"/>
          <w:szCs w:val="24"/>
          <w:lang w:eastAsia="lt-LT"/>
        </w:rPr>
      </w:pPr>
      <w:r w:rsidRPr="70E841AB">
        <w:rPr>
          <w:rFonts w:ascii="Times New Roman" w:hAnsi="Times New Roman" w:cs="Times New Roman"/>
          <w:sz w:val="24"/>
          <w:szCs w:val="24"/>
          <w:lang w:eastAsia="lt-LT"/>
        </w:rPr>
        <w:t xml:space="preserve">2.2.3.21. ar Ūkio subjektas pašalino audituojamu laikotarpiu Teikėjo nustatytus neatitikimus ir (ar) klaidas; išsamiai įvertinti nustatytų neatitikimų ir (ar) klaidų įtaką reguliuojamoms paslaugoms ir techninės </w:t>
      </w:r>
      <w:r w:rsidR="6478A509" w:rsidRPr="70E841AB">
        <w:rPr>
          <w:rFonts w:ascii="Times New Roman" w:hAnsi="Times New Roman" w:cs="Times New Roman"/>
          <w:sz w:val="24"/>
          <w:szCs w:val="24"/>
          <w:lang w:eastAsia="lt-LT"/>
        </w:rPr>
        <w:t xml:space="preserve"> </w:t>
      </w:r>
      <w:r w:rsidR="0E7D5DB1" w:rsidRPr="70E841AB">
        <w:rPr>
          <w:rFonts w:ascii="Times New Roman" w:hAnsi="Times New Roman" w:cs="Times New Roman"/>
          <w:sz w:val="24"/>
          <w:szCs w:val="24"/>
          <w:lang w:eastAsia="lt-LT"/>
        </w:rPr>
        <w:t>specifikacijos</w:t>
      </w:r>
      <w:r w:rsidRPr="70E841AB">
        <w:rPr>
          <w:rFonts w:ascii="Times New Roman" w:hAnsi="Times New Roman" w:cs="Times New Roman"/>
          <w:sz w:val="24"/>
          <w:szCs w:val="24"/>
          <w:lang w:eastAsia="lt-LT"/>
        </w:rPr>
        <w:t xml:space="preserve"> 5.2 papunktyje nurodytame dokumente detaliai nurodyti, kas buvo pakeista.</w:t>
      </w:r>
    </w:p>
    <w:p w14:paraId="3CA97F80" w14:textId="036C5D2D"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2.2.4. </w:t>
      </w:r>
      <w:r w:rsidR="000C43E2" w:rsidRPr="001857AD">
        <w:rPr>
          <w:rFonts w:ascii="Times New Roman" w:hAnsi="Times New Roman" w:cs="Times New Roman"/>
          <w:sz w:val="24"/>
          <w:szCs w:val="24"/>
          <w:lang w:eastAsia="lt-LT"/>
        </w:rPr>
        <w:t>p</w:t>
      </w:r>
      <w:r w:rsidRPr="001857AD">
        <w:rPr>
          <w:rFonts w:ascii="Times New Roman" w:hAnsi="Times New Roman" w:cs="Times New Roman"/>
          <w:sz w:val="24"/>
          <w:szCs w:val="24"/>
          <w:lang w:eastAsia="lt-LT"/>
        </w:rPr>
        <w:t>ateikti:</w:t>
      </w:r>
    </w:p>
    <w:p w14:paraId="24BBA798" w14:textId="453CCC4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2.2.4.1. vertinimą, ar Ūkio subjektas savo sąnaudų apskaitos sistemoje tinkamai atskyrė prižiūrimas paslaugas bei šių paslaugų sąnaudas paskirstė vadovaudamasis Reguliavimo apskaitos taisyklių </w:t>
      </w:r>
      <w:r w:rsidR="0043098C" w:rsidRPr="001857AD">
        <w:rPr>
          <w:rFonts w:ascii="Times New Roman" w:hAnsi="Times New Roman" w:cs="Times New Roman"/>
          <w:sz w:val="24"/>
          <w:szCs w:val="24"/>
          <w:lang w:eastAsia="lt-LT"/>
        </w:rPr>
        <w:t>reikalavimais.</w:t>
      </w:r>
    </w:p>
    <w:p w14:paraId="5B5AACA1" w14:textId="5F713F79"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2.2.4.2. pastebėjimus dėl kitų auditui atlikti būtinų darbų ir procedūrų, reikalingų visapusiškai išnagrinėti ar Ūkio subjektas 202</w:t>
      </w:r>
      <w:r w:rsidR="001B667E">
        <w:rPr>
          <w:rFonts w:ascii="Times New Roman" w:hAnsi="Times New Roman" w:cs="Times New Roman"/>
          <w:sz w:val="24"/>
          <w:szCs w:val="24"/>
          <w:lang w:eastAsia="lt-LT"/>
        </w:rPr>
        <w:t>5</w:t>
      </w:r>
      <w:r w:rsidR="00F916B8">
        <w:rPr>
          <w:rFonts w:ascii="Times New Roman" w:hAnsi="Times New Roman" w:cs="Times New Roman"/>
          <w:sz w:val="24"/>
          <w:szCs w:val="24"/>
          <w:lang w:eastAsia="lt-LT"/>
        </w:rPr>
        <w:t xml:space="preserve"> m.</w:t>
      </w:r>
      <w:r w:rsidR="001B667E">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ataskaitiniais metais tinkamai vykdė Reguliavimo apskaitos taisyklių reikalavimus, siekiant parengti šios techninės specifikacijos 5 punkte nurodytus dokumentus.</w:t>
      </w:r>
    </w:p>
    <w:p w14:paraId="011A94B7" w14:textId="482D808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3. Teikėjas privalo turėti konfidencialumo užtikrinimo priemones, taikytinas verslo subjektų komercinę paslaptį sudarančioms žinioms ir duomenims, taip pat kitai konfidencialiai informacijai, kuri </w:t>
      </w:r>
      <w:r w:rsidR="002C4F60" w:rsidRPr="001857AD">
        <w:rPr>
          <w:rFonts w:ascii="Times New Roman" w:hAnsi="Times New Roman" w:cs="Times New Roman"/>
          <w:sz w:val="24"/>
          <w:szCs w:val="24"/>
          <w:lang w:eastAsia="lt-LT"/>
        </w:rPr>
        <w:t xml:space="preserve">bus pateikta teikėjui </w:t>
      </w:r>
      <w:r w:rsidRPr="001857AD">
        <w:rPr>
          <w:rFonts w:ascii="Times New Roman" w:hAnsi="Times New Roman" w:cs="Times New Roman"/>
          <w:sz w:val="24"/>
          <w:szCs w:val="24"/>
          <w:lang w:eastAsia="lt-LT"/>
        </w:rPr>
        <w:t>audito paslaugų teikimo proceso metu.</w:t>
      </w:r>
    </w:p>
    <w:p w14:paraId="0AE6BCFD" w14:textId="56BCEF0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4. Audito paslaugų rezultatus įforminantys dokumentai apie tikrintą Ūkio subjektą (toliau – audito rezultatai) pateikiami elektronine forma, kad būtų galima naudoti tolimesniam vertinimui ir skaičiavimų </w:t>
      </w:r>
      <w:r w:rsidR="00DD77FD" w:rsidRPr="001857AD">
        <w:rPr>
          <w:rFonts w:ascii="Times New Roman" w:hAnsi="Times New Roman" w:cs="Times New Roman"/>
          <w:sz w:val="24"/>
          <w:szCs w:val="24"/>
          <w:lang w:eastAsia="lt-LT"/>
        </w:rPr>
        <w:t>patikrinimui.</w:t>
      </w:r>
    </w:p>
    <w:p w14:paraId="50ECEF28"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5. Teikėjo pateikiami audito rezultatai:</w:t>
      </w:r>
    </w:p>
    <w:p w14:paraId="27E674F0" w14:textId="7CFED9F5" w:rsidR="00CC01C1" w:rsidRPr="001857AD" w:rsidRDefault="00CC01C1" w:rsidP="00CC01C1">
      <w:pPr>
        <w:autoSpaceDN w:val="0"/>
        <w:spacing w:after="0" w:line="240" w:lineRule="auto"/>
        <w:ind w:firstLine="851"/>
        <w:contextualSpacing/>
        <w:rPr>
          <w:rFonts w:ascii="Times New Roman" w:hAnsi="Times New Roman" w:cs="Times New Roman"/>
          <w:color w:val="EE0000"/>
          <w:sz w:val="24"/>
          <w:szCs w:val="24"/>
          <w:lang w:eastAsia="lt-LT"/>
        </w:rPr>
      </w:pPr>
      <w:r w:rsidRPr="001857AD">
        <w:rPr>
          <w:rFonts w:ascii="Times New Roman" w:hAnsi="Times New Roman" w:cs="Times New Roman"/>
          <w:sz w:val="24"/>
          <w:szCs w:val="24"/>
          <w:lang w:eastAsia="lt-LT"/>
        </w:rPr>
        <w:t xml:space="preserve">5.1. auditoriaus išvada, parengta vadovaujantis 800-ojo ir kitų TAS reikalavimais, kurioje negali būti numatyti apribojimai joje pateiktos informacijos vartotojams, nes pagal Sąnaudų apskaitos taisyklių 55 punkto ir Apskaitos atskyrimo taisyklių 49 punkto nuostatas auditoriaus išvada yra vieša ir skelbiama Ūkio subjekto ir RRT </w:t>
      </w:r>
      <w:r w:rsidR="00DD77FD" w:rsidRPr="001857AD">
        <w:rPr>
          <w:rFonts w:ascii="Times New Roman" w:hAnsi="Times New Roman" w:cs="Times New Roman"/>
          <w:sz w:val="24"/>
          <w:szCs w:val="24"/>
          <w:lang w:eastAsia="lt-LT"/>
        </w:rPr>
        <w:t>tinklalapyje.</w:t>
      </w:r>
    </w:p>
    <w:p w14:paraId="0E14E899" w14:textId="12C11D4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5.2. išsami audito ataskaita, kurioje pateikiamas detalus audito metu atliktų procedūrų (veiksmų), pastebėtų dalykų ir gautų rezultatų aprašymas, atliekant kiekvieną šios techninės specifikacijos 2.2 papunktyje numatytą procedūrą, nepaisant to, ar audito metu buvo nustatyti kokie nors neatitikimai Reguliavimo apskaitos taisyklėms, kuriuos Ūkio subjektas sutiko pašalinti (kartu nurodant, kaip konkretūs neatitikimai buvo pašalinti). Audito ataskaitoje turi būti pateikti audito pastebėjimai dėl šios techninės specifikacijos 2.2 papunktyje nurodytų procedūrų (laikantis 2.2.3 papunktyje numatyto detalumo), pateikiamos rekomendacijos nustatytiems trūkumams pašalinti, bei pagrindiniai, sprendimus lėmę audito metu atlikti skaičiavimai, vertinimai (darbo dokumentai).</w:t>
      </w:r>
    </w:p>
    <w:p w14:paraId="4D0FCE5F" w14:textId="0604FF3E" w:rsidR="00CC01C1"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70E841AB">
        <w:rPr>
          <w:rFonts w:ascii="Times New Roman" w:hAnsi="Times New Roman" w:cs="Times New Roman"/>
          <w:sz w:val="24"/>
          <w:szCs w:val="24"/>
          <w:lang w:eastAsia="lt-LT"/>
        </w:rPr>
        <w:t xml:space="preserve">6. </w:t>
      </w:r>
      <w:r w:rsidR="00041A04" w:rsidRPr="70E841AB">
        <w:rPr>
          <w:rFonts w:ascii="Times New Roman" w:hAnsi="Times New Roman" w:cs="Times New Roman"/>
          <w:sz w:val="24"/>
          <w:szCs w:val="24"/>
          <w:lang w:eastAsia="lt-LT"/>
        </w:rPr>
        <w:t>A</w:t>
      </w:r>
      <w:r w:rsidRPr="70E841AB">
        <w:rPr>
          <w:rFonts w:ascii="Times New Roman" w:hAnsi="Times New Roman" w:cs="Times New Roman"/>
          <w:sz w:val="24"/>
          <w:szCs w:val="24"/>
          <w:lang w:eastAsia="lt-LT"/>
        </w:rPr>
        <w:t>udito ataskaitoje pateikta informacija yra konfidenciali</w:t>
      </w:r>
      <w:r w:rsidR="00B84B9A" w:rsidRPr="70E841AB">
        <w:rPr>
          <w:rFonts w:ascii="Times New Roman" w:hAnsi="Times New Roman" w:cs="Times New Roman"/>
          <w:sz w:val="24"/>
          <w:szCs w:val="24"/>
          <w:lang w:eastAsia="lt-LT"/>
        </w:rPr>
        <w:t xml:space="preserve"> (išskyrus tą, kurią </w:t>
      </w:r>
      <w:r w:rsidR="0070783D" w:rsidRPr="70E841AB">
        <w:rPr>
          <w:rFonts w:ascii="Times New Roman" w:hAnsi="Times New Roman" w:cs="Times New Roman"/>
          <w:sz w:val="24"/>
          <w:szCs w:val="24"/>
          <w:lang w:eastAsia="lt-LT"/>
        </w:rPr>
        <w:t xml:space="preserve">Telecentras </w:t>
      </w:r>
      <w:r w:rsidR="00B84B9A" w:rsidRPr="70E841AB">
        <w:rPr>
          <w:rFonts w:ascii="Times New Roman" w:hAnsi="Times New Roman" w:cs="Times New Roman"/>
          <w:sz w:val="24"/>
          <w:szCs w:val="24"/>
          <w:lang w:eastAsia="lt-LT"/>
        </w:rPr>
        <w:t>privalo atskleisti pagal galiojančius teisės aktus, kuri viešai prieinama)</w:t>
      </w:r>
      <w:r w:rsidRPr="70E841AB">
        <w:rPr>
          <w:rFonts w:ascii="Times New Roman" w:hAnsi="Times New Roman" w:cs="Times New Roman"/>
          <w:sz w:val="24"/>
          <w:szCs w:val="24"/>
          <w:lang w:eastAsia="lt-LT"/>
        </w:rPr>
        <w:t xml:space="preserve"> ir negali būti atskleista kitoms trečiosioms šalims, išskyrus RRT.</w:t>
      </w:r>
      <w:r w:rsidR="000B0853">
        <w:rPr>
          <w:rFonts w:ascii="Times New Roman" w:hAnsi="Times New Roman" w:cs="Times New Roman"/>
          <w:sz w:val="24"/>
          <w:szCs w:val="24"/>
          <w:lang w:eastAsia="lt-LT"/>
        </w:rPr>
        <w:t xml:space="preserve"> </w:t>
      </w:r>
    </w:p>
    <w:p w14:paraId="375D2C71" w14:textId="236AAD8A" w:rsidR="00AD3B58" w:rsidRPr="00B23F8F" w:rsidRDefault="00AD3B58" w:rsidP="738AE74F">
      <w:pPr>
        <w:autoSpaceDN w:val="0"/>
        <w:spacing w:after="0" w:line="240" w:lineRule="auto"/>
        <w:ind w:firstLine="851"/>
        <w:contextualSpacing/>
        <w:rPr>
          <w:rFonts w:ascii="Times New Roman" w:eastAsia="Times New Roman" w:hAnsi="Times New Roman" w:cs="Times New Roman"/>
          <w:sz w:val="24"/>
          <w:szCs w:val="24"/>
        </w:rPr>
      </w:pPr>
      <w:r w:rsidRPr="00644678">
        <w:rPr>
          <w:rFonts w:ascii="Times New Roman" w:hAnsi="Times New Roman" w:cs="Times New Roman"/>
          <w:sz w:val="24"/>
          <w:szCs w:val="24"/>
          <w:lang w:eastAsia="lt-LT"/>
        </w:rPr>
        <w:t xml:space="preserve">7. </w:t>
      </w:r>
      <w:r w:rsidR="00261B82" w:rsidRPr="00644678">
        <w:rPr>
          <w:rFonts w:ascii="Times New Roman" w:hAnsi="Times New Roman" w:cs="Times New Roman"/>
          <w:sz w:val="24"/>
          <w:szCs w:val="24"/>
          <w:lang w:eastAsia="lt-LT"/>
        </w:rPr>
        <w:t xml:space="preserve">RRT įvertina </w:t>
      </w:r>
      <w:r w:rsidR="1DB03813" w:rsidRPr="00644678">
        <w:rPr>
          <w:rFonts w:ascii="Times New Roman" w:hAnsi="Times New Roman" w:cs="Times New Roman"/>
          <w:sz w:val="24"/>
          <w:szCs w:val="24"/>
          <w:lang w:eastAsia="lt-LT"/>
        </w:rPr>
        <w:t xml:space="preserve">Audito paslaugų teikėjo </w:t>
      </w:r>
      <w:r w:rsidR="00261B82" w:rsidRPr="00644678">
        <w:rPr>
          <w:rFonts w:ascii="Times New Roman" w:hAnsi="Times New Roman" w:cs="Times New Roman"/>
          <w:sz w:val="24"/>
          <w:szCs w:val="24"/>
          <w:lang w:eastAsia="lt-LT"/>
        </w:rPr>
        <w:t xml:space="preserve">pateiktą audito </w:t>
      </w:r>
      <w:r w:rsidR="7F204229" w:rsidRPr="00644678">
        <w:rPr>
          <w:rFonts w:ascii="Times New Roman" w:hAnsi="Times New Roman" w:cs="Times New Roman"/>
          <w:sz w:val="24"/>
          <w:szCs w:val="24"/>
          <w:lang w:eastAsia="lt-LT"/>
        </w:rPr>
        <w:t xml:space="preserve">ataskaitą ir </w:t>
      </w:r>
      <w:r w:rsidR="00261B82" w:rsidRPr="00644678">
        <w:rPr>
          <w:rFonts w:ascii="Times New Roman" w:hAnsi="Times New Roman" w:cs="Times New Roman"/>
          <w:sz w:val="24"/>
          <w:szCs w:val="24"/>
          <w:lang w:eastAsia="lt-LT"/>
        </w:rPr>
        <w:t xml:space="preserve">išvadą. </w:t>
      </w:r>
      <w:r w:rsidR="23699745" w:rsidRPr="00644678">
        <w:rPr>
          <w:rFonts w:ascii="Times New Roman" w:eastAsia="Times New Roman" w:hAnsi="Times New Roman" w:cs="Times New Roman"/>
          <w:sz w:val="24"/>
          <w:szCs w:val="24"/>
        </w:rPr>
        <w:t xml:space="preserve"> Jeigu RRT, vertindama audito rezultatus, pateikia klausimų, pastabų ar prašo patikslinimų, </w:t>
      </w:r>
      <w:r w:rsidR="654151A4" w:rsidRPr="00644678">
        <w:rPr>
          <w:rFonts w:ascii="Times New Roman" w:hAnsi="Times New Roman" w:cs="Times New Roman"/>
          <w:sz w:val="24"/>
          <w:szCs w:val="24"/>
          <w:lang w:eastAsia="lt-LT"/>
        </w:rPr>
        <w:t>Audito paslaugų teikėjas</w:t>
      </w:r>
      <w:r w:rsidR="23699745" w:rsidRPr="00644678">
        <w:rPr>
          <w:rFonts w:ascii="Times New Roman" w:eastAsia="Times New Roman" w:hAnsi="Times New Roman" w:cs="Times New Roman"/>
          <w:sz w:val="24"/>
          <w:szCs w:val="24"/>
        </w:rPr>
        <w:t xml:space="preserve"> įsipareigoja per RRT nustatytą terminą pateikti visą prašomą informaciją, paaiškinimus, pagrindžiančius dokumentus ir duomenų pagrindimą, reikalingus tinkamam audito rezultatų įvertinimui</w:t>
      </w:r>
      <w:r w:rsidR="00261B82" w:rsidRPr="00644678">
        <w:rPr>
          <w:rFonts w:ascii="Times New Roman" w:hAnsi="Times New Roman" w:cs="Times New Roman"/>
          <w:sz w:val="24"/>
          <w:szCs w:val="24"/>
          <w:lang w:eastAsia="lt-LT"/>
        </w:rPr>
        <w:t>.</w:t>
      </w:r>
      <w:r w:rsidR="384183C7" w:rsidRPr="00644678">
        <w:rPr>
          <w:rFonts w:ascii="Times New Roman" w:hAnsi="Times New Roman" w:cs="Times New Roman"/>
          <w:sz w:val="24"/>
          <w:szCs w:val="24"/>
          <w:lang w:eastAsia="lt-LT"/>
        </w:rPr>
        <w:t xml:space="preserve"> Auditas </w:t>
      </w:r>
      <w:r w:rsidR="384183C7" w:rsidRPr="00644678">
        <w:rPr>
          <w:rFonts w:ascii="Times New Roman" w:eastAsia="Times New Roman" w:hAnsi="Times New Roman" w:cs="Times New Roman"/>
          <w:sz w:val="24"/>
          <w:szCs w:val="24"/>
        </w:rPr>
        <w:t>privalo bendradarbiauti su RRT ir Telecentru bei operatyviai teikti informaciją tiek, kiek tai susiję su pagal šalių pasirašytą sutartį atliktu auditu.</w:t>
      </w:r>
      <w:r w:rsidR="384183C7" w:rsidRPr="00B23F8F">
        <w:rPr>
          <w:rFonts w:ascii="Times New Roman" w:eastAsia="Times New Roman" w:hAnsi="Times New Roman" w:cs="Times New Roman"/>
          <w:sz w:val="24"/>
          <w:szCs w:val="24"/>
        </w:rPr>
        <w:t xml:space="preserve"> </w:t>
      </w:r>
    </w:p>
    <w:sectPr w:rsidR="00AD3B58" w:rsidRPr="00B23F8F" w:rsidSect="00584964">
      <w:headerReference w:type="even" r:id="rId11"/>
      <w:footerReference w:type="default" r:id="rId12"/>
      <w:headerReference w:type="firs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A980" w14:textId="77777777" w:rsidR="001160D1" w:rsidRPr="00580A83" w:rsidRDefault="001160D1" w:rsidP="00AD2242">
      <w:pPr>
        <w:spacing w:after="0" w:line="240" w:lineRule="auto"/>
      </w:pPr>
      <w:r w:rsidRPr="00580A83">
        <w:separator/>
      </w:r>
    </w:p>
  </w:endnote>
  <w:endnote w:type="continuationSeparator" w:id="0">
    <w:p w14:paraId="355783CC" w14:textId="77777777" w:rsidR="001160D1" w:rsidRPr="00580A83" w:rsidRDefault="001160D1" w:rsidP="00AD2242">
      <w:pPr>
        <w:spacing w:after="0" w:line="240" w:lineRule="auto"/>
      </w:pPr>
      <w:r w:rsidRPr="00580A83">
        <w:continuationSeparator/>
      </w:r>
    </w:p>
  </w:endnote>
  <w:endnote w:type="continuationNotice" w:id="1">
    <w:p w14:paraId="2593BDF8" w14:textId="77777777" w:rsidR="001160D1" w:rsidRPr="00580A83" w:rsidRDefault="001160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177905"/>
      <w:docPartObj>
        <w:docPartGallery w:val="Page Numbers (Bottom of Page)"/>
        <w:docPartUnique/>
      </w:docPartObj>
    </w:sdtPr>
    <w:sdtEndPr>
      <w:rPr>
        <w:noProof/>
      </w:rPr>
    </w:sdtEndPr>
    <w:sdtContent>
      <w:p w14:paraId="1EC0805D" w14:textId="56D3CA04" w:rsidR="00475B9C" w:rsidRDefault="00475B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34C0F1" w14:textId="77777777" w:rsidR="00475B9C" w:rsidRDefault="00475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B456" w14:textId="77777777" w:rsidR="001160D1" w:rsidRPr="00580A83" w:rsidRDefault="001160D1" w:rsidP="00AD2242">
      <w:pPr>
        <w:spacing w:after="0" w:line="240" w:lineRule="auto"/>
      </w:pPr>
      <w:r w:rsidRPr="00580A83">
        <w:separator/>
      </w:r>
    </w:p>
  </w:footnote>
  <w:footnote w:type="continuationSeparator" w:id="0">
    <w:p w14:paraId="314A2A0C" w14:textId="77777777" w:rsidR="001160D1" w:rsidRPr="00580A83" w:rsidRDefault="001160D1" w:rsidP="00AD2242">
      <w:pPr>
        <w:spacing w:after="0" w:line="240" w:lineRule="auto"/>
      </w:pPr>
      <w:r w:rsidRPr="00580A83">
        <w:continuationSeparator/>
      </w:r>
    </w:p>
  </w:footnote>
  <w:footnote w:type="continuationNotice" w:id="1">
    <w:p w14:paraId="63735ECA" w14:textId="77777777" w:rsidR="001160D1" w:rsidRPr="00580A83" w:rsidRDefault="001160D1">
      <w:pPr>
        <w:spacing w:after="0" w:line="240" w:lineRule="auto"/>
      </w:pPr>
    </w:p>
  </w:footnote>
  <w:footnote w:id="2">
    <w:p w14:paraId="08DBE861" w14:textId="1D137F97" w:rsidR="00854A0C" w:rsidRDefault="00854A0C">
      <w:pPr>
        <w:pStyle w:val="FootnoteText"/>
      </w:pPr>
      <w:r w:rsidRPr="00644678">
        <w:rPr>
          <w:rStyle w:val="FootnoteReference"/>
        </w:rPr>
        <w:footnoteRef/>
      </w:r>
      <w:r w:rsidRPr="00644678">
        <w:t xml:space="preserve"> Apskaitos atskyrimo taisyklės ir su apskaitos atskyrimu </w:t>
      </w:r>
      <w:r w:rsidR="00A13D2C" w:rsidRPr="00644678">
        <w:t xml:space="preserve">susijusę </w:t>
      </w:r>
      <w:r w:rsidRPr="00644678">
        <w:t>reikalavimai, patvirtinti Lietuvos Respublikos ryšių reguliavimo tarnybos direktoriaus 2006 m. birželio 14 d. įsakymu Nr. 1V-738 „Dėl Apskaitos atskyrimo taisyklių ir su apskaitos atskyrimu susijusių reikalavimų patvirtinimo“ (toliau – Apskaitos atskyrimo taisyklės), bei Sąnaudų apskaitos pagal visiškai paskirstytų sąnaudų metodą taisyklės, patvirtintos Lietuvos Respublikos ryšių reguliavimo tarnybos direktoriaus 2005 m. gruodžio 28 d. įsakymu Nr. 1V-1164 „Dėl Sąnaudų apskaitos pagal pilnai paskirstytų sąnaudų metodą taisyklių patvirtinimo“ (toliau – Sąnaudų apskaitos taisyklės) (abi kartu – Reguliavimo apskaitos taisyklės)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7AAF" w14:textId="625C597A" w:rsidR="00495440" w:rsidRPr="00580A83" w:rsidRDefault="00495440">
    <w:pPr>
      <w:pStyle w:val="Header"/>
    </w:pPr>
    <w:r w:rsidRPr="00580A83">
      <w:rPr>
        <w:noProof/>
        <w14:ligatures w14:val="standardContextual"/>
      </w:rPr>
      <mc:AlternateContent>
        <mc:Choice Requires="wps">
          <w:drawing>
            <wp:anchor distT="0" distB="0" distL="0" distR="0" simplePos="0" relativeHeight="251658241" behindDoc="0" locked="0" layoutInCell="1" allowOverlap="1" wp14:anchorId="0BE17584" wp14:editId="71276F84">
              <wp:simplePos x="635" y="635"/>
              <wp:positionH relativeFrom="page">
                <wp:align>left</wp:align>
              </wp:positionH>
              <wp:positionV relativeFrom="page">
                <wp:align>top</wp:align>
              </wp:positionV>
              <wp:extent cx="2828925" cy="353060"/>
              <wp:effectExtent l="0" t="0" r="9525" b="8890"/>
              <wp:wrapNone/>
              <wp:docPr id="1568095146"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3060"/>
                      </a:xfrm>
                      <a:prstGeom prst="rect">
                        <a:avLst/>
                      </a:prstGeom>
                      <a:noFill/>
                      <a:ln>
                        <a:noFill/>
                      </a:ln>
                    </wps:spPr>
                    <wps:txbx>
                      <w:txbxContent>
                        <w:p w14:paraId="10E8B2F1" w14:textId="4A25940D"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E17584"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22.75pt;height:27.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" filled="f" stroked="f">
              <v:textbox style="mso-fit-shape-to-text:t" inset="20pt,15pt,0,0">
                <w:txbxContent>
                  <w:p w14:paraId="10E8B2F1" w14:textId="4A25940D"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338C" w14:textId="00C9B852" w:rsidR="00495440" w:rsidRPr="00580A83" w:rsidRDefault="00495440">
    <w:pPr>
      <w:pStyle w:val="Header"/>
    </w:pPr>
    <w:r w:rsidRPr="00580A83">
      <w:rPr>
        <w:noProof/>
        <w14:ligatures w14:val="standardContextual"/>
      </w:rPr>
      <mc:AlternateContent>
        <mc:Choice Requires="wps">
          <w:drawing>
            <wp:anchor distT="0" distB="0" distL="0" distR="0" simplePos="0" relativeHeight="251658240" behindDoc="0" locked="0" layoutInCell="1" allowOverlap="1" wp14:anchorId="55B0D663" wp14:editId="462A2B37">
              <wp:simplePos x="635" y="635"/>
              <wp:positionH relativeFrom="page">
                <wp:align>left</wp:align>
              </wp:positionH>
              <wp:positionV relativeFrom="page">
                <wp:align>top</wp:align>
              </wp:positionV>
              <wp:extent cx="2828925" cy="353060"/>
              <wp:effectExtent l="0" t="0" r="9525" b="8890"/>
              <wp:wrapNone/>
              <wp:docPr id="61580981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3060"/>
                      </a:xfrm>
                      <a:prstGeom prst="rect">
                        <a:avLst/>
                      </a:prstGeom>
                      <a:noFill/>
                      <a:ln>
                        <a:noFill/>
                      </a:ln>
                    </wps:spPr>
                    <wps:txbx>
                      <w:txbxContent>
                        <w:p w14:paraId="537B0542" w14:textId="31858EE4"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B0D663" id="_x0000_t202" coordsize="21600,21600" o:spt="202" path="m,l,21600r21600,l21600,xe">
              <v:stroke joinstyle="miter"/>
              <v:path gradientshapeok="t" o:connecttype="rect"/>
            </v:shapetype>
            <v:shape id="Text Box 1" o:spid="_x0000_s1027" type="#_x0000_t202" alt="Viešai neskelbtina (vidinio naudojimo) informacija" style="position:absolute;left:0;text-align:left;margin-left:0;margin-top:0;width:222.75pt;height:27.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" filled="f" stroked="f">
              <v:textbox style="mso-fit-shape-to-text:t" inset="20pt,15pt,0,0">
                <w:txbxContent>
                  <w:p w14:paraId="537B0542" w14:textId="31858EE4"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643F"/>
    <w:multiLevelType w:val="multilevel"/>
    <w:tmpl w:val="26E22416"/>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7995132">
    <w:abstractNumId w:val="1"/>
  </w:num>
  <w:num w:numId="2" w16cid:durableId="1907379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242"/>
    <w:rsid w:val="0001433B"/>
    <w:rsid w:val="000177A8"/>
    <w:rsid w:val="00041A04"/>
    <w:rsid w:val="0006754B"/>
    <w:rsid w:val="00067807"/>
    <w:rsid w:val="0007613C"/>
    <w:rsid w:val="0008381E"/>
    <w:rsid w:val="00084FF9"/>
    <w:rsid w:val="00085052"/>
    <w:rsid w:val="00085DCF"/>
    <w:rsid w:val="000869B8"/>
    <w:rsid w:val="000A2259"/>
    <w:rsid w:val="000B0853"/>
    <w:rsid w:val="000B2C14"/>
    <w:rsid w:val="000B6CE7"/>
    <w:rsid w:val="000C0423"/>
    <w:rsid w:val="000C43E2"/>
    <w:rsid w:val="000E53F4"/>
    <w:rsid w:val="0010131E"/>
    <w:rsid w:val="00112793"/>
    <w:rsid w:val="001160D1"/>
    <w:rsid w:val="0013030C"/>
    <w:rsid w:val="0013207B"/>
    <w:rsid w:val="00151497"/>
    <w:rsid w:val="001857AD"/>
    <w:rsid w:val="001A78D5"/>
    <w:rsid w:val="001B3408"/>
    <w:rsid w:val="001B667E"/>
    <w:rsid w:val="001D6B8F"/>
    <w:rsid w:val="001E3788"/>
    <w:rsid w:val="001E4DE2"/>
    <w:rsid w:val="001F5348"/>
    <w:rsid w:val="00205E72"/>
    <w:rsid w:val="00223167"/>
    <w:rsid w:val="002350DD"/>
    <w:rsid w:val="0024161B"/>
    <w:rsid w:val="00242442"/>
    <w:rsid w:val="0024386D"/>
    <w:rsid w:val="00251259"/>
    <w:rsid w:val="00252B3B"/>
    <w:rsid w:val="00261B82"/>
    <w:rsid w:val="002812FB"/>
    <w:rsid w:val="00295568"/>
    <w:rsid w:val="002974BB"/>
    <w:rsid w:val="002B552B"/>
    <w:rsid w:val="002C4F60"/>
    <w:rsid w:val="002D390F"/>
    <w:rsid w:val="002E3016"/>
    <w:rsid w:val="00303006"/>
    <w:rsid w:val="003208FA"/>
    <w:rsid w:val="0033508A"/>
    <w:rsid w:val="0036174C"/>
    <w:rsid w:val="00363BE8"/>
    <w:rsid w:val="00371537"/>
    <w:rsid w:val="00380E0C"/>
    <w:rsid w:val="00386F91"/>
    <w:rsid w:val="00394B65"/>
    <w:rsid w:val="003B0B97"/>
    <w:rsid w:val="003C4C80"/>
    <w:rsid w:val="003C7007"/>
    <w:rsid w:val="003F22DF"/>
    <w:rsid w:val="003F25BF"/>
    <w:rsid w:val="003F52C3"/>
    <w:rsid w:val="00401D40"/>
    <w:rsid w:val="00403553"/>
    <w:rsid w:val="004075FD"/>
    <w:rsid w:val="0041712E"/>
    <w:rsid w:val="0043098C"/>
    <w:rsid w:val="004315FB"/>
    <w:rsid w:val="0043431D"/>
    <w:rsid w:val="00452FA4"/>
    <w:rsid w:val="00466D29"/>
    <w:rsid w:val="00475B9C"/>
    <w:rsid w:val="00480BB1"/>
    <w:rsid w:val="004848C1"/>
    <w:rsid w:val="004908E2"/>
    <w:rsid w:val="00495440"/>
    <w:rsid w:val="004A2C24"/>
    <w:rsid w:val="004B2787"/>
    <w:rsid w:val="004B32EA"/>
    <w:rsid w:val="004B3E20"/>
    <w:rsid w:val="004B465A"/>
    <w:rsid w:val="004C1729"/>
    <w:rsid w:val="004D0DE0"/>
    <w:rsid w:val="004E04FB"/>
    <w:rsid w:val="004E5053"/>
    <w:rsid w:val="00522205"/>
    <w:rsid w:val="005329F5"/>
    <w:rsid w:val="0053351A"/>
    <w:rsid w:val="005610E3"/>
    <w:rsid w:val="00561902"/>
    <w:rsid w:val="00566506"/>
    <w:rsid w:val="005739B1"/>
    <w:rsid w:val="00580183"/>
    <w:rsid w:val="00580A83"/>
    <w:rsid w:val="00584964"/>
    <w:rsid w:val="0059435D"/>
    <w:rsid w:val="00596FA6"/>
    <w:rsid w:val="005B09D5"/>
    <w:rsid w:val="005C108A"/>
    <w:rsid w:val="005C3EAC"/>
    <w:rsid w:val="005C586C"/>
    <w:rsid w:val="005E6A3A"/>
    <w:rsid w:val="005F7497"/>
    <w:rsid w:val="00601085"/>
    <w:rsid w:val="00605061"/>
    <w:rsid w:val="006051E2"/>
    <w:rsid w:val="00605911"/>
    <w:rsid w:val="006076A6"/>
    <w:rsid w:val="00610B7F"/>
    <w:rsid w:val="006148A8"/>
    <w:rsid w:val="00633055"/>
    <w:rsid w:val="00640DFE"/>
    <w:rsid w:val="00644678"/>
    <w:rsid w:val="00646CB0"/>
    <w:rsid w:val="006620B6"/>
    <w:rsid w:val="006773DB"/>
    <w:rsid w:val="006A1E1F"/>
    <w:rsid w:val="006A7FAE"/>
    <w:rsid w:val="006B1822"/>
    <w:rsid w:val="006B4108"/>
    <w:rsid w:val="006C1512"/>
    <w:rsid w:val="006D2B04"/>
    <w:rsid w:val="00703E51"/>
    <w:rsid w:val="0070783D"/>
    <w:rsid w:val="00731319"/>
    <w:rsid w:val="007561A7"/>
    <w:rsid w:val="00765F93"/>
    <w:rsid w:val="00775713"/>
    <w:rsid w:val="007759CE"/>
    <w:rsid w:val="00782512"/>
    <w:rsid w:val="007867B3"/>
    <w:rsid w:val="00791E86"/>
    <w:rsid w:val="0079675E"/>
    <w:rsid w:val="007B1A7C"/>
    <w:rsid w:val="007D3A66"/>
    <w:rsid w:val="007D59B3"/>
    <w:rsid w:val="007E5F04"/>
    <w:rsid w:val="00802921"/>
    <w:rsid w:val="00805F06"/>
    <w:rsid w:val="008078D5"/>
    <w:rsid w:val="008319A2"/>
    <w:rsid w:val="0084348C"/>
    <w:rsid w:val="00854A0C"/>
    <w:rsid w:val="008566AE"/>
    <w:rsid w:val="00863DC5"/>
    <w:rsid w:val="008778FC"/>
    <w:rsid w:val="00895A54"/>
    <w:rsid w:val="008B3004"/>
    <w:rsid w:val="008D5092"/>
    <w:rsid w:val="008E4D27"/>
    <w:rsid w:val="008E5D1C"/>
    <w:rsid w:val="008F14D7"/>
    <w:rsid w:val="008F34E6"/>
    <w:rsid w:val="00906488"/>
    <w:rsid w:val="00954766"/>
    <w:rsid w:val="00955612"/>
    <w:rsid w:val="009662C7"/>
    <w:rsid w:val="00966724"/>
    <w:rsid w:val="00974FA9"/>
    <w:rsid w:val="009A278C"/>
    <w:rsid w:val="009C11BA"/>
    <w:rsid w:val="009C5B61"/>
    <w:rsid w:val="009C7DDC"/>
    <w:rsid w:val="009F50C8"/>
    <w:rsid w:val="00A0578B"/>
    <w:rsid w:val="00A13D2C"/>
    <w:rsid w:val="00A1777C"/>
    <w:rsid w:val="00A30757"/>
    <w:rsid w:val="00A41C7A"/>
    <w:rsid w:val="00A44D4A"/>
    <w:rsid w:val="00A458AB"/>
    <w:rsid w:val="00A5467B"/>
    <w:rsid w:val="00A65193"/>
    <w:rsid w:val="00A70CCD"/>
    <w:rsid w:val="00A70CF4"/>
    <w:rsid w:val="00A81112"/>
    <w:rsid w:val="00AA2745"/>
    <w:rsid w:val="00AA51B9"/>
    <w:rsid w:val="00AB07B6"/>
    <w:rsid w:val="00AB1F6B"/>
    <w:rsid w:val="00AB21DA"/>
    <w:rsid w:val="00AB71B7"/>
    <w:rsid w:val="00AD2242"/>
    <w:rsid w:val="00AD2C4F"/>
    <w:rsid w:val="00AD3B58"/>
    <w:rsid w:val="00AD7F47"/>
    <w:rsid w:val="00AE01A1"/>
    <w:rsid w:val="00AE2D8D"/>
    <w:rsid w:val="00AE595F"/>
    <w:rsid w:val="00AF7DEB"/>
    <w:rsid w:val="00B0079C"/>
    <w:rsid w:val="00B23F8F"/>
    <w:rsid w:val="00B442BA"/>
    <w:rsid w:val="00B47C7D"/>
    <w:rsid w:val="00B60F64"/>
    <w:rsid w:val="00B77E96"/>
    <w:rsid w:val="00B84B9A"/>
    <w:rsid w:val="00B86FBA"/>
    <w:rsid w:val="00B929E1"/>
    <w:rsid w:val="00BC5EE2"/>
    <w:rsid w:val="00BE76F6"/>
    <w:rsid w:val="00BF46E9"/>
    <w:rsid w:val="00C00378"/>
    <w:rsid w:val="00C4212C"/>
    <w:rsid w:val="00C47874"/>
    <w:rsid w:val="00C508DD"/>
    <w:rsid w:val="00C56288"/>
    <w:rsid w:val="00C7749E"/>
    <w:rsid w:val="00C84008"/>
    <w:rsid w:val="00C9012E"/>
    <w:rsid w:val="00C96F81"/>
    <w:rsid w:val="00CA3668"/>
    <w:rsid w:val="00CA76A0"/>
    <w:rsid w:val="00CB2F70"/>
    <w:rsid w:val="00CB555C"/>
    <w:rsid w:val="00CC01C1"/>
    <w:rsid w:val="00CC3631"/>
    <w:rsid w:val="00CC4E53"/>
    <w:rsid w:val="00CD1C8E"/>
    <w:rsid w:val="00CF565F"/>
    <w:rsid w:val="00D01A96"/>
    <w:rsid w:val="00D04A10"/>
    <w:rsid w:val="00D3196B"/>
    <w:rsid w:val="00D477A8"/>
    <w:rsid w:val="00D5039F"/>
    <w:rsid w:val="00D6654E"/>
    <w:rsid w:val="00D831B2"/>
    <w:rsid w:val="00D83AAF"/>
    <w:rsid w:val="00D961EC"/>
    <w:rsid w:val="00DD0F52"/>
    <w:rsid w:val="00DD77FD"/>
    <w:rsid w:val="00DF0F15"/>
    <w:rsid w:val="00DF4AFB"/>
    <w:rsid w:val="00E01B07"/>
    <w:rsid w:val="00E27F36"/>
    <w:rsid w:val="00E31AB0"/>
    <w:rsid w:val="00E81F2B"/>
    <w:rsid w:val="00EA0985"/>
    <w:rsid w:val="00ED32B8"/>
    <w:rsid w:val="00EE087F"/>
    <w:rsid w:val="00EE3AA2"/>
    <w:rsid w:val="00EE7048"/>
    <w:rsid w:val="00EE72D0"/>
    <w:rsid w:val="00EF7104"/>
    <w:rsid w:val="00F04C9D"/>
    <w:rsid w:val="00F066B5"/>
    <w:rsid w:val="00F13653"/>
    <w:rsid w:val="00F145CB"/>
    <w:rsid w:val="00F16EA9"/>
    <w:rsid w:val="00F220A6"/>
    <w:rsid w:val="00F33C04"/>
    <w:rsid w:val="00F410DD"/>
    <w:rsid w:val="00F412EB"/>
    <w:rsid w:val="00F44A64"/>
    <w:rsid w:val="00F6301A"/>
    <w:rsid w:val="00F634A2"/>
    <w:rsid w:val="00F76249"/>
    <w:rsid w:val="00F82767"/>
    <w:rsid w:val="00F916B8"/>
    <w:rsid w:val="00F92E88"/>
    <w:rsid w:val="00F93D69"/>
    <w:rsid w:val="00F94C22"/>
    <w:rsid w:val="00FB1DAA"/>
    <w:rsid w:val="02DDAA0E"/>
    <w:rsid w:val="0A294EE9"/>
    <w:rsid w:val="0E7D5DB1"/>
    <w:rsid w:val="0F4D1488"/>
    <w:rsid w:val="1553FC26"/>
    <w:rsid w:val="1DB03813"/>
    <w:rsid w:val="1EB6C93E"/>
    <w:rsid w:val="23699745"/>
    <w:rsid w:val="2CE2A39F"/>
    <w:rsid w:val="34D17BF4"/>
    <w:rsid w:val="384183C7"/>
    <w:rsid w:val="3F1B2D6C"/>
    <w:rsid w:val="48490F4A"/>
    <w:rsid w:val="4EC5DFD1"/>
    <w:rsid w:val="511EB841"/>
    <w:rsid w:val="5B1FCFD1"/>
    <w:rsid w:val="5B6540A2"/>
    <w:rsid w:val="6478A509"/>
    <w:rsid w:val="654151A4"/>
    <w:rsid w:val="6C280F72"/>
    <w:rsid w:val="70E841AB"/>
    <w:rsid w:val="738AE74F"/>
    <w:rsid w:val="7F2042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6AD9"/>
  <w15:chartTrackingRefBased/>
  <w15:docId w15:val="{E24BBF00-2FBB-4B0E-9D95-58EB6B5C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242"/>
    <w:pPr>
      <w:spacing w:line="252" w:lineRule="auto"/>
      <w:jc w:val="both"/>
    </w:pPr>
    <w:rPr>
      <w:rFonts w:eastAsiaTheme="minorEastAsia"/>
      <w:kern w:val="0"/>
      <w14:ligatures w14:val="none"/>
    </w:rPr>
  </w:style>
  <w:style w:type="paragraph" w:styleId="Heading1">
    <w:name w:val="heading 1"/>
    <w:basedOn w:val="Normal"/>
    <w:next w:val="Normal"/>
    <w:link w:val="Heading1Char"/>
    <w:uiPriority w:val="9"/>
    <w:qFormat/>
    <w:rsid w:val="00AD2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22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22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22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22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2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2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2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2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2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2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2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2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2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2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2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2242"/>
    <w:rPr>
      <w:rFonts w:eastAsiaTheme="majorEastAsia" w:cstheme="majorBidi"/>
      <w:color w:val="272727" w:themeColor="text1" w:themeTint="D8"/>
    </w:rPr>
  </w:style>
  <w:style w:type="paragraph" w:styleId="Title">
    <w:name w:val="Title"/>
    <w:basedOn w:val="Normal"/>
    <w:next w:val="Normal"/>
    <w:link w:val="TitleChar"/>
    <w:uiPriority w:val="10"/>
    <w:qFormat/>
    <w:rsid w:val="00AD22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2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22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2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2242"/>
    <w:pPr>
      <w:spacing w:before="160"/>
      <w:jc w:val="center"/>
    </w:pPr>
    <w:rPr>
      <w:i/>
      <w:iCs/>
      <w:color w:val="404040" w:themeColor="text1" w:themeTint="BF"/>
    </w:rPr>
  </w:style>
  <w:style w:type="character" w:customStyle="1" w:styleId="QuoteChar">
    <w:name w:val="Quote Char"/>
    <w:basedOn w:val="DefaultParagraphFont"/>
    <w:link w:val="Quote"/>
    <w:uiPriority w:val="29"/>
    <w:rsid w:val="00AD2242"/>
    <w:rPr>
      <w:i/>
      <w:iCs/>
      <w:color w:val="404040" w:themeColor="text1" w:themeTint="BF"/>
    </w:rPr>
  </w:style>
  <w:style w:type="paragraph" w:styleId="ListParagraph">
    <w:name w:val="List Paragraph"/>
    <w:basedOn w:val="Normal"/>
    <w:uiPriority w:val="34"/>
    <w:qFormat/>
    <w:rsid w:val="00AD2242"/>
    <w:pPr>
      <w:ind w:left="720"/>
      <w:contextualSpacing/>
    </w:pPr>
  </w:style>
  <w:style w:type="character" w:styleId="IntenseEmphasis">
    <w:name w:val="Intense Emphasis"/>
    <w:basedOn w:val="DefaultParagraphFont"/>
    <w:uiPriority w:val="21"/>
    <w:qFormat/>
    <w:rsid w:val="00AD2242"/>
    <w:rPr>
      <w:i/>
      <w:iCs/>
      <w:color w:val="0F4761" w:themeColor="accent1" w:themeShade="BF"/>
    </w:rPr>
  </w:style>
  <w:style w:type="paragraph" w:styleId="IntenseQuote">
    <w:name w:val="Intense Quote"/>
    <w:basedOn w:val="Normal"/>
    <w:next w:val="Normal"/>
    <w:link w:val="IntenseQuoteChar"/>
    <w:uiPriority w:val="30"/>
    <w:qFormat/>
    <w:rsid w:val="00AD2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2242"/>
    <w:rPr>
      <w:i/>
      <w:iCs/>
      <w:color w:val="0F4761" w:themeColor="accent1" w:themeShade="BF"/>
    </w:rPr>
  </w:style>
  <w:style w:type="character" w:styleId="IntenseReference">
    <w:name w:val="Intense Reference"/>
    <w:basedOn w:val="DefaultParagraphFont"/>
    <w:uiPriority w:val="32"/>
    <w:qFormat/>
    <w:rsid w:val="00AD2242"/>
    <w:rPr>
      <w:b/>
      <w:bCs/>
      <w:smallCaps/>
      <w:color w:val="0F4761" w:themeColor="accent1" w:themeShade="BF"/>
      <w:spacing w:val="5"/>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AD2242"/>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AD2242"/>
    <w:rPr>
      <w:rFonts w:ascii="Calibri" w:eastAsia="Times New Roman" w:hAnsi="Calibri" w:cs="Times New Roman"/>
      <w:kern w:val="0"/>
      <w:sz w:val="20"/>
      <w:szCs w:val="20"/>
      <w14:ligatures w14:val="none"/>
    </w:rPr>
  </w:style>
  <w:style w:type="character" w:styleId="FootnoteReference">
    <w:name w:val="footnote reference"/>
    <w:basedOn w:val="DefaultParagraphFont"/>
    <w:uiPriority w:val="99"/>
    <w:unhideWhenUsed/>
    <w:rsid w:val="00AD2242"/>
    <w:rPr>
      <w:rFonts w:cs="Times New Roman"/>
      <w:vertAlign w:val="superscript"/>
    </w:rPr>
  </w:style>
  <w:style w:type="paragraph" w:styleId="Header">
    <w:name w:val="header"/>
    <w:basedOn w:val="Normal"/>
    <w:link w:val="HeaderChar"/>
    <w:uiPriority w:val="99"/>
    <w:unhideWhenUsed/>
    <w:rsid w:val="004954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495440"/>
    <w:rPr>
      <w:rFonts w:eastAsiaTheme="minorEastAsia"/>
      <w:kern w:val="0"/>
      <w14:ligatures w14:val="none"/>
    </w:rPr>
  </w:style>
  <w:style w:type="paragraph" w:styleId="Footer">
    <w:name w:val="footer"/>
    <w:basedOn w:val="Normal"/>
    <w:link w:val="FooterChar"/>
    <w:uiPriority w:val="99"/>
    <w:unhideWhenUsed/>
    <w:rsid w:val="008078D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078D5"/>
    <w:rPr>
      <w:rFonts w:eastAsiaTheme="minorEastAsia"/>
      <w:kern w:val="0"/>
      <w14:ligatures w14:val="none"/>
    </w:rPr>
  </w:style>
  <w:style w:type="character" w:styleId="Hyperlink">
    <w:name w:val="Hyperlink"/>
    <w:basedOn w:val="DefaultParagraphFont"/>
    <w:uiPriority w:val="99"/>
    <w:unhideWhenUsed/>
    <w:rsid w:val="00596FA6"/>
    <w:rPr>
      <w:color w:val="467886" w:themeColor="hyperlink"/>
      <w:u w:val="single"/>
    </w:rPr>
  </w:style>
  <w:style w:type="character" w:styleId="UnresolvedMention">
    <w:name w:val="Unresolved Mention"/>
    <w:basedOn w:val="DefaultParagraphFont"/>
    <w:uiPriority w:val="99"/>
    <w:semiHidden/>
    <w:unhideWhenUsed/>
    <w:rsid w:val="00596FA6"/>
    <w:rPr>
      <w:color w:val="605E5C"/>
      <w:shd w:val="clear" w:color="auto" w:fill="E1DFDD"/>
    </w:rPr>
  </w:style>
  <w:style w:type="character" w:styleId="CommentReference">
    <w:name w:val="annotation reference"/>
    <w:basedOn w:val="DefaultParagraphFont"/>
    <w:uiPriority w:val="99"/>
    <w:semiHidden/>
    <w:unhideWhenUsed/>
    <w:rsid w:val="00A70CF4"/>
    <w:rPr>
      <w:sz w:val="16"/>
      <w:szCs w:val="16"/>
    </w:rPr>
  </w:style>
  <w:style w:type="paragraph" w:styleId="CommentText">
    <w:name w:val="annotation text"/>
    <w:basedOn w:val="Normal"/>
    <w:link w:val="CommentTextChar"/>
    <w:uiPriority w:val="99"/>
    <w:unhideWhenUsed/>
    <w:rsid w:val="00A70CF4"/>
    <w:pPr>
      <w:spacing w:line="240" w:lineRule="auto"/>
    </w:pPr>
    <w:rPr>
      <w:sz w:val="20"/>
      <w:szCs w:val="20"/>
    </w:rPr>
  </w:style>
  <w:style w:type="character" w:customStyle="1" w:styleId="CommentTextChar">
    <w:name w:val="Comment Text Char"/>
    <w:basedOn w:val="DefaultParagraphFont"/>
    <w:link w:val="CommentText"/>
    <w:uiPriority w:val="99"/>
    <w:rsid w:val="00A70CF4"/>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70CF4"/>
    <w:rPr>
      <w:b/>
      <w:bCs/>
    </w:rPr>
  </w:style>
  <w:style w:type="character" w:customStyle="1" w:styleId="CommentSubjectChar">
    <w:name w:val="Comment Subject Char"/>
    <w:basedOn w:val="CommentTextChar"/>
    <w:link w:val="CommentSubject"/>
    <w:uiPriority w:val="99"/>
    <w:semiHidden/>
    <w:rsid w:val="00A70CF4"/>
    <w:rPr>
      <w:rFonts w:eastAsiaTheme="minorEastAsia"/>
      <w:b/>
      <w:bCs/>
      <w:kern w:val="0"/>
      <w:sz w:val="20"/>
      <w:szCs w:val="20"/>
      <w14:ligatures w14:val="none"/>
    </w:rPr>
  </w:style>
  <w:style w:type="paragraph" w:styleId="Revision">
    <w:name w:val="Revision"/>
    <w:hidden/>
    <w:uiPriority w:val="99"/>
    <w:semiHidden/>
    <w:rsid w:val="00F94C22"/>
    <w:pPr>
      <w:spacing w:after="0" w:line="240" w:lineRule="auto"/>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AFB139-6F52-44A9-9652-98659B5A5588}">
  <ds:schemaRefs>
    <ds:schemaRef ds:uri="http://schemas.microsoft.com/sharepoint/v3/contenttype/forms"/>
  </ds:schemaRefs>
</ds:datastoreItem>
</file>

<file path=customXml/itemProps2.xml><?xml version="1.0" encoding="utf-8"?>
<ds:datastoreItem xmlns:ds="http://schemas.openxmlformats.org/officeDocument/2006/customXml" ds:itemID="{103B2F75-F97E-4743-AD37-DA37369B6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EA2B-55B0-40E6-B4E9-EA9CE0842853}">
  <ds:schemaRefs>
    <ds:schemaRef ds:uri="http://schemas.openxmlformats.org/officeDocument/2006/bibliography"/>
  </ds:schemaRefs>
</ds:datastoreItem>
</file>

<file path=customXml/itemProps4.xml><?xml version="1.0" encoding="utf-8"?>
<ds:datastoreItem xmlns:ds="http://schemas.openxmlformats.org/officeDocument/2006/customXml" ds:itemID="{03963FC8-A9AD-4A68-BC36-B94EBBEBACCD}">
  <ds:schemaRefs>
    <ds:schemaRef ds:uri="http://schemas.microsoft.com/office/2006/metadata/properties"/>
    <ds:schemaRef ds:uri="http://schemas.microsoft.com/office/infopath/2007/PartnerControls"/>
    <ds:schemaRef ds:uri="2428ec59-b906-48ba-aec8-c772cd6f3fb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2612</Words>
  <Characters>14893</Characters>
  <Application>Microsoft Office Word</Application>
  <DocSecurity>0</DocSecurity>
  <Lines>124</Lines>
  <Paragraphs>34</Paragraphs>
  <ScaleCrop>false</ScaleCrop>
  <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dc:description/>
  <cp:lastModifiedBy>Eglė Alijeva</cp:lastModifiedBy>
  <cp:revision>3</cp:revision>
  <cp:lastPrinted>2025-07-25T06:25:00Z</cp:lastPrinted>
  <dcterms:created xsi:type="dcterms:W3CDTF">2026-04-08T07:47:00Z</dcterms:created>
  <dcterms:modified xsi:type="dcterms:W3CDTF">2026-04-08T07:48:00Z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24b4831b,5d773baa,3b38f103</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2025-06-23T12:51:13Z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dd23f059-e557-4391-b300-32ac927c1652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0x0101002E78714F80BA5F418C033DBA1BFC8A09</vt:lpwstr>
  </property>
  <property fmtid="{D5CDD505-2E9C-101B-9397-08002B2CF9AE}" pid="14" name="MediaServiceImageTags">
    <vt:lpwstr/>
  </property>
</Properties>
</file>